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0" w:firstLineChars="0"/>
        <w:jc w:val="left"/>
        <w:rPr>
          <w:rFonts w:ascii="黑体" w:hAnsi="宋体" w:eastAsia="黑体" w:cs="黑体"/>
          <w:bCs/>
          <w:color w:val="000000"/>
          <w:kern w:val="0"/>
          <w:sz w:val="28"/>
          <w:szCs w:val="28"/>
          <w:lang w:bidi="ar"/>
        </w:rPr>
      </w:pPr>
      <w:r>
        <w:rPr>
          <w:rFonts w:ascii="黑体" w:hAnsi="宋体" w:eastAsia="黑体" w:cs="黑体"/>
          <w:bCs/>
          <w:color w:val="000000"/>
          <w:kern w:val="0"/>
          <w:sz w:val="28"/>
          <w:szCs w:val="28"/>
          <w:lang w:bidi="ar"/>
        </w:rPr>
        <w:t>附件</w:t>
      </w:r>
      <w:r>
        <w:rPr>
          <w:rFonts w:hint="eastAsia" w:ascii="黑体" w:hAnsi="宋体" w:eastAsia="黑体" w:cs="黑体"/>
          <w:bCs/>
          <w:color w:val="000000"/>
          <w:kern w:val="0"/>
          <w:sz w:val="28"/>
          <w:szCs w:val="28"/>
          <w:lang w:bidi="ar"/>
        </w:rPr>
        <w:t>3</w:t>
      </w:r>
    </w:p>
    <w:p>
      <w:pPr>
        <w:widowControl/>
        <w:ind w:firstLine="0" w:firstLineChars="0"/>
        <w:jc w:val="center"/>
        <w:rPr>
          <w:rFonts w:ascii="黑体" w:hAnsi="宋体" w:eastAsia="黑体" w:cs="黑体"/>
          <w:b/>
          <w:bCs/>
          <w:color w:val="000000"/>
          <w:kern w:val="0"/>
          <w:sz w:val="48"/>
          <w:szCs w:val="48"/>
          <w:lang w:bidi="ar"/>
        </w:rPr>
      </w:pPr>
      <w:r>
        <w:rPr>
          <w:rFonts w:ascii="黑体" w:hAnsi="宋体" w:eastAsia="黑体" w:cs="黑体"/>
          <w:b/>
          <w:bCs/>
          <w:color w:val="000000"/>
          <w:kern w:val="0"/>
          <w:sz w:val="48"/>
          <w:szCs w:val="48"/>
          <w:lang w:bidi="ar"/>
        </w:rPr>
        <w:t>第</w:t>
      </w:r>
      <w:r>
        <w:rPr>
          <w:rFonts w:hint="eastAsia" w:ascii="黑体" w:hAnsi="宋体" w:eastAsia="黑体" w:cs="黑体"/>
          <w:b/>
          <w:bCs/>
          <w:color w:val="000000"/>
          <w:kern w:val="0"/>
          <w:sz w:val="48"/>
          <w:szCs w:val="48"/>
          <w:lang w:bidi="ar"/>
        </w:rPr>
        <w:t>七</w:t>
      </w:r>
      <w:r>
        <w:rPr>
          <w:rFonts w:ascii="黑体" w:hAnsi="宋体" w:eastAsia="黑体" w:cs="黑体"/>
          <w:b/>
          <w:bCs/>
          <w:color w:val="000000"/>
          <w:kern w:val="0"/>
          <w:sz w:val="48"/>
          <w:szCs w:val="48"/>
          <w:lang w:bidi="ar"/>
        </w:rPr>
        <w:t>届全国城市地下空间工程专业</w:t>
      </w:r>
    </w:p>
    <w:p>
      <w:pPr>
        <w:widowControl/>
        <w:ind w:firstLine="0" w:firstLineChars="0"/>
        <w:jc w:val="center"/>
        <w:rPr>
          <w:rFonts w:ascii="黑体" w:hAnsi="宋体" w:eastAsia="黑体" w:cs="黑体"/>
          <w:b/>
          <w:bCs/>
          <w:color w:val="000000"/>
          <w:kern w:val="0"/>
          <w:sz w:val="48"/>
          <w:szCs w:val="48"/>
          <w:lang w:bidi="ar"/>
        </w:rPr>
      </w:pPr>
      <w:r>
        <w:rPr>
          <w:rFonts w:ascii="黑体" w:hAnsi="宋体" w:eastAsia="黑体" w:cs="黑体"/>
          <w:b/>
          <w:bCs/>
          <w:color w:val="000000"/>
          <w:kern w:val="0"/>
          <w:sz w:val="48"/>
          <w:szCs w:val="48"/>
          <w:lang w:bidi="ar"/>
        </w:rPr>
        <w:t>大学生</w:t>
      </w:r>
      <w:r>
        <w:rPr>
          <w:rFonts w:hint="eastAsia" w:ascii="黑体" w:hAnsi="宋体" w:eastAsia="黑体" w:cs="黑体"/>
          <w:b/>
          <w:bCs/>
          <w:color w:val="000000"/>
          <w:kern w:val="0"/>
          <w:sz w:val="48"/>
          <w:szCs w:val="48"/>
          <w:lang w:bidi="ar"/>
        </w:rPr>
        <w:t>模型设计竞赛说明书</w:t>
      </w:r>
    </w:p>
    <w:p>
      <w:pPr>
        <w:widowControl/>
        <w:ind w:firstLine="0" w:firstLineChars="0"/>
        <w:jc w:val="left"/>
        <w:rPr>
          <w:b/>
          <w:bCs/>
        </w:rPr>
      </w:pPr>
      <w:r>
        <w:rPr>
          <w:rFonts w:hint="eastAsia" w:ascii="宋体" w:hAnsi="宋体" w:cs="宋体"/>
          <w:b/>
          <w:bCs/>
          <w:color w:val="000000"/>
          <w:kern w:val="0"/>
          <w:sz w:val="32"/>
          <w:szCs w:val="32"/>
          <w:lang w:bidi="ar"/>
        </w:rPr>
        <w:t xml:space="preserve">一、竞赛题目 </w:t>
      </w:r>
    </w:p>
    <w:p>
      <w:pPr>
        <w:widowControl/>
        <w:ind w:firstLine="480"/>
        <w:jc w:val="left"/>
        <w:rPr>
          <w:rFonts w:ascii="宋体" w:hAnsi="宋体" w:cs="宋体"/>
          <w:color w:val="000000"/>
          <w:kern w:val="0"/>
          <w:szCs w:val="24"/>
          <w:lang w:bidi="ar"/>
        </w:rPr>
      </w:pPr>
      <w:r>
        <w:rPr>
          <w:rFonts w:hint="eastAsia" w:ascii="宋体" w:hAnsi="宋体" w:cs="宋体"/>
          <w:color w:val="000000"/>
          <w:kern w:val="0"/>
          <w:szCs w:val="24"/>
          <w:lang w:bidi="ar"/>
        </w:rPr>
        <w:t>双层地下空间结构模型设计竞赛。结构模型总体设计如图</w:t>
      </w:r>
      <w:r>
        <w:rPr>
          <w:color w:val="000000"/>
          <w:kern w:val="0"/>
          <w:szCs w:val="24"/>
          <w:lang w:bidi="ar"/>
        </w:rPr>
        <w:t>1</w:t>
      </w:r>
      <w:r>
        <w:rPr>
          <w:rFonts w:hint="eastAsia" w:ascii="宋体" w:hAnsi="宋体" w:cs="宋体"/>
          <w:color w:val="000000"/>
          <w:kern w:val="0"/>
          <w:szCs w:val="24"/>
          <w:lang w:bidi="ar"/>
        </w:rPr>
        <w:t>所示。</w:t>
      </w:r>
    </w:p>
    <w:p>
      <w:pPr>
        <w:widowControl/>
        <w:ind w:firstLine="480"/>
        <w:jc w:val="left"/>
        <w:rPr>
          <w:rFonts w:ascii="宋体" w:hAnsi="宋体" w:cs="宋体"/>
          <w:color w:val="000000"/>
          <w:kern w:val="0"/>
          <w:szCs w:val="24"/>
          <w:lang w:bidi="ar"/>
        </w:rPr>
      </w:pPr>
    </w:p>
    <w:p>
      <w:pPr>
        <w:widowControl/>
        <w:ind w:firstLine="0" w:firstLineChars="0"/>
        <w:jc w:val="left"/>
        <w:rPr>
          <w:b/>
          <w:bCs/>
        </w:rPr>
      </w:pPr>
      <w:r>
        <w:rPr>
          <w:rFonts w:hint="eastAsia" w:ascii="宋体" w:hAnsi="宋体" w:cs="宋体"/>
          <w:b/>
          <w:bCs/>
          <w:color w:val="000000"/>
          <w:kern w:val="0"/>
          <w:sz w:val="32"/>
          <w:szCs w:val="32"/>
          <w:lang w:bidi="ar"/>
        </w:rPr>
        <w:t>二、竞赛目的</w:t>
      </w:r>
    </w:p>
    <w:p>
      <w:pPr>
        <w:spacing w:line="360" w:lineRule="auto"/>
        <w:ind w:firstLine="480"/>
        <w:rPr>
          <w:rStyle w:val="18"/>
          <w:rFonts w:ascii="Times New Roman" w:hAnsi="Times New Roman" w:cs="Times New Roman"/>
        </w:rPr>
      </w:pPr>
      <w:r>
        <w:rPr>
          <w:rStyle w:val="18"/>
          <w:rFonts w:hint="eastAsia" w:ascii="Times New Roman" w:hAnsi="Times New Roman" w:cs="Times New Roman"/>
        </w:rPr>
        <w:t>《城市地下空间开发利用"十三五"规划》中提出保障公共安全是城市地下空间开发利用的重要原则，地下空间在城市防灾减灾中扮演着愈加重要的角色，"韧性城市"理念与地下空间规划建设的融合是保障城市安全发展的重要基础。</w:t>
      </w:r>
      <w:r>
        <w:rPr>
          <w:rStyle w:val="18"/>
          <w:rFonts w:ascii="Times New Roman" w:hAnsi="Times New Roman" w:cs="Times New Roman"/>
        </w:rPr>
        <w:t>目前，多层地下空间结构广泛应用于地铁车站、地下商场、地下车库、多层隧道等</w:t>
      </w:r>
      <w:r>
        <w:rPr>
          <w:rStyle w:val="18"/>
          <w:rFonts w:hint="eastAsia" w:ascii="Times New Roman" w:hAnsi="Times New Roman" w:cs="Times New Roman"/>
        </w:rPr>
        <w:t>方面</w:t>
      </w:r>
      <w:r>
        <w:rPr>
          <w:rStyle w:val="18"/>
          <w:rFonts w:ascii="Times New Roman" w:hAnsi="Times New Roman" w:cs="Times New Roman"/>
        </w:rPr>
        <w:t>，且随着城市化进程的快速发展，地下空间结构的建设</w:t>
      </w:r>
      <w:r>
        <w:rPr>
          <w:rStyle w:val="18"/>
          <w:rFonts w:hint="eastAsia" w:ascii="Times New Roman" w:hAnsi="Times New Roman" w:cs="Times New Roman"/>
        </w:rPr>
        <w:t>还将</w:t>
      </w:r>
      <w:r>
        <w:rPr>
          <w:rStyle w:val="18"/>
          <w:rFonts w:ascii="Times New Roman" w:hAnsi="Times New Roman" w:cs="Times New Roman"/>
        </w:rPr>
        <w:t>日益增多。本次竞赛题目的设计正是基于这一工程背景，通过对双层地下空间结构模型的设计及制作，加强学生对城市地下空间工程专业的认识和了解，在理论计算和动手操作的同时，提升他们对本专业的兴趣和爱好。</w:t>
      </w:r>
    </w:p>
    <w:p>
      <w:pPr>
        <w:spacing w:line="360" w:lineRule="auto"/>
        <w:ind w:firstLine="480"/>
        <w:rPr>
          <w:rStyle w:val="18"/>
          <w:rFonts w:cs="Times New Roman"/>
        </w:rPr>
      </w:pPr>
      <w:r>
        <w:rPr>
          <w:rStyle w:val="18"/>
          <w:rFonts w:hint="eastAsia" w:cs="Times New Roman"/>
        </w:rPr>
        <w:t>本次模型比赛的主题是双层地下空间结构模型的设计、计算、制作和加载，包括白卡纸封层和双层地下空间模型结构制作两部分，然后通过加载试验检验白卡纸封层和双层地下空间模型结构体系的承载力和变形特性，从而确定双层地下空间结构体系的可行性、合理性和科学性。</w:t>
      </w:r>
    </w:p>
    <w:p>
      <w:pPr>
        <w:spacing w:line="360" w:lineRule="auto"/>
        <w:ind w:firstLine="480"/>
        <w:rPr>
          <w:rStyle w:val="18"/>
          <w:rFonts w:cs="Times New Roman"/>
        </w:rPr>
      </w:pPr>
      <w:r>
        <w:rPr>
          <w:rStyle w:val="18"/>
          <w:rFonts w:hint="eastAsia" w:cs="Times New Roman"/>
        </w:rPr>
        <w:t xml:space="preserve">竞赛主要目的如下： </w:t>
      </w:r>
    </w:p>
    <w:p>
      <w:pPr>
        <w:spacing w:line="360" w:lineRule="auto"/>
        <w:ind w:firstLine="480"/>
        <w:rPr>
          <w:rStyle w:val="18"/>
          <w:rFonts w:cs="Times New Roman"/>
        </w:rPr>
      </w:pPr>
      <w:r>
        <w:rPr>
          <w:rStyle w:val="18"/>
          <w:rFonts w:hint="eastAsia" w:cs="Times New Roman"/>
        </w:rPr>
        <w:t>（1）通过测试模型相关组成部件的力学参数，完成双层地下空间结构体系设计与承载能力的理论计算，从而理解双层地下空间结构体系设计的相关理论；</w:t>
      </w:r>
    </w:p>
    <w:p>
      <w:pPr>
        <w:spacing w:line="360" w:lineRule="auto"/>
        <w:ind w:firstLine="480"/>
        <w:rPr>
          <w:rStyle w:val="18"/>
          <w:rFonts w:cs="Times New Roman"/>
        </w:rPr>
      </w:pPr>
      <w:r>
        <w:rPr>
          <w:rStyle w:val="18"/>
          <w:rFonts w:hint="eastAsia" w:cs="Times New Roman"/>
        </w:rPr>
        <w:t xml:space="preserve">（2）以最低的成本，使用最少的材料（白卡纸），设计并制作双层地下空间结构体系，并保证模型能够承受最大荷载及满足变形要求； </w:t>
      </w:r>
    </w:p>
    <w:p>
      <w:pPr>
        <w:spacing w:line="360" w:lineRule="auto"/>
        <w:ind w:firstLine="480"/>
        <w:rPr>
          <w:rStyle w:val="18"/>
          <w:rFonts w:cs="Times New Roman"/>
        </w:rPr>
      </w:pPr>
      <w:r>
        <w:rPr>
          <w:rStyle w:val="18"/>
          <w:rFonts w:hint="eastAsia" w:cs="Times New Roman"/>
        </w:rPr>
        <w:t>（3）锻炼学生的创新能力、设计能力、实践能力和团结协作能力，并形成各高校间良好的竞争与合作氛围。</w:t>
      </w:r>
    </w:p>
    <w:p>
      <w:pPr>
        <w:ind w:firstLine="643"/>
        <w:rPr>
          <w:rFonts w:ascii="宋体" w:hAnsi="宋体" w:cs="宋体"/>
          <w:b/>
          <w:bCs/>
          <w:color w:val="000000"/>
          <w:kern w:val="0"/>
          <w:sz w:val="32"/>
          <w:szCs w:val="32"/>
          <w:lang w:bidi="ar"/>
        </w:rPr>
      </w:pPr>
      <w:r>
        <w:rPr>
          <w:rFonts w:hint="eastAsia" w:ascii="宋体" w:hAnsi="宋体" w:cs="宋体"/>
          <w:b/>
          <w:bCs/>
          <w:color w:val="000000"/>
          <w:kern w:val="0"/>
          <w:sz w:val="32"/>
          <w:szCs w:val="32"/>
          <w:lang w:bidi="ar"/>
        </w:rPr>
        <w:br w:type="page"/>
      </w:r>
    </w:p>
    <w:p>
      <w:pPr>
        <w:widowControl/>
        <w:ind w:firstLine="0" w:firstLineChars="0"/>
        <w:jc w:val="left"/>
        <w:rPr>
          <w:b/>
          <w:bCs/>
        </w:rPr>
      </w:pPr>
      <w:r>
        <w:rPr>
          <w:rFonts w:hint="eastAsia" w:ascii="宋体" w:hAnsi="宋体" w:cs="宋体"/>
          <w:b/>
          <w:bCs/>
          <w:color w:val="000000"/>
          <w:kern w:val="0"/>
          <w:sz w:val="32"/>
          <w:szCs w:val="32"/>
          <w:lang w:bidi="ar"/>
        </w:rPr>
        <w:t xml:space="preserve">三、参赛对象及要求 </w:t>
      </w:r>
    </w:p>
    <w:p>
      <w:pPr>
        <w:spacing w:line="360" w:lineRule="auto"/>
        <w:ind w:firstLine="480"/>
        <w:rPr>
          <w:rStyle w:val="18"/>
          <w:rFonts w:ascii="Times New Roman" w:hAnsi="Times New Roman" w:cs="Times New Roman"/>
        </w:rPr>
      </w:pPr>
      <w:r>
        <w:rPr>
          <w:rStyle w:val="18"/>
          <w:rFonts w:ascii="Times New Roman" w:hAnsi="Times New Roman" w:cs="Times New Roman"/>
        </w:rPr>
        <w:t>参赛高校应通过校级选拔赛择优推荐1～2支参赛队伍参加本次比赛，具体要求如下：</w:t>
      </w:r>
    </w:p>
    <w:p>
      <w:pPr>
        <w:spacing w:line="360" w:lineRule="auto"/>
        <w:ind w:firstLine="480"/>
        <w:rPr>
          <w:rStyle w:val="18"/>
          <w:rFonts w:ascii="Times New Roman" w:hAnsi="Times New Roman" w:cs="Times New Roman"/>
        </w:rPr>
      </w:pPr>
      <w:r>
        <w:rPr>
          <w:rStyle w:val="18"/>
          <w:rFonts w:ascii="Times New Roman" w:hAnsi="Times New Roman" w:cs="Times New Roman"/>
        </w:rPr>
        <w:t>（1）特别说明：参赛学生队长必须是经教育部审核备案开设城市地下空间工程专业并已经招生两届以上学生的高校学生，以学校名义报名参赛</w:t>
      </w:r>
      <w:r>
        <w:rPr>
          <w:rStyle w:val="18"/>
          <w:rFonts w:hint="eastAsia" w:ascii="Times New Roman" w:hAnsi="Times New Roman" w:cs="Times New Roman"/>
        </w:rPr>
        <w:t>；</w:t>
      </w:r>
    </w:p>
    <w:p>
      <w:pPr>
        <w:spacing w:line="360" w:lineRule="auto"/>
        <w:ind w:firstLine="480"/>
        <w:rPr>
          <w:rStyle w:val="18"/>
          <w:rFonts w:ascii="Times New Roman" w:hAnsi="Times New Roman" w:cs="Times New Roman"/>
        </w:rPr>
      </w:pPr>
      <w:r>
        <w:rPr>
          <w:rStyle w:val="18"/>
          <w:rFonts w:ascii="Times New Roman" w:hAnsi="Times New Roman" w:cs="Times New Roman"/>
        </w:rPr>
        <w:t>（2）每支参赛队伍不得超过3人（每名参赛选手只能参加1支参赛队伍），须设队长1名、指导教师1名。参赛队伍的队员名单一经确定，不得更改；</w:t>
      </w:r>
    </w:p>
    <w:p>
      <w:pPr>
        <w:spacing w:line="360" w:lineRule="auto"/>
        <w:ind w:firstLine="480"/>
        <w:rPr>
          <w:rStyle w:val="18"/>
          <w:rFonts w:ascii="Times New Roman" w:hAnsi="Times New Roman" w:cs="Times New Roman"/>
        </w:rPr>
      </w:pPr>
      <w:r>
        <w:rPr>
          <w:rStyle w:val="18"/>
          <w:rFonts w:ascii="Times New Roman" w:hAnsi="Times New Roman" w:cs="Times New Roman"/>
        </w:rPr>
        <w:t>（3）每支参赛队伍只能提交1份作品；</w:t>
      </w:r>
    </w:p>
    <w:p>
      <w:pPr>
        <w:spacing w:line="360" w:lineRule="auto"/>
        <w:ind w:firstLine="480"/>
        <w:rPr>
          <w:rStyle w:val="18"/>
          <w:rFonts w:ascii="Times New Roman" w:hAnsi="Times New Roman" w:cs="Times New Roman"/>
        </w:rPr>
      </w:pPr>
      <w:r>
        <w:rPr>
          <w:rStyle w:val="18"/>
          <w:rFonts w:ascii="Times New Roman" w:hAnsi="Times New Roman" w:cs="Times New Roman"/>
        </w:rPr>
        <w:t>（4）比赛前，由各参赛队队长随机抽取编号，该编号为模型制作期间座位号、作品编号及加载顺序号。</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0" w:type="dxa"/>
            <w:tcBorders>
              <w:top w:val="nil"/>
              <w:left w:val="nil"/>
              <w:bottom w:val="nil"/>
              <w:right w:val="nil"/>
            </w:tcBorders>
            <w:vAlign w:val="center"/>
          </w:tcPr>
          <w:p>
            <w:pPr>
              <w:ind w:firstLine="0" w:firstLineChars="0"/>
              <w:jc w:val="center"/>
              <w:rPr>
                <w:color w:val="000000"/>
                <w:szCs w:val="24"/>
              </w:rPr>
            </w:pPr>
            <w:r>
              <w:rPr>
                <w:rFonts w:hint="eastAsia"/>
                <w:color w:val="000000"/>
                <w:szCs w:val="24"/>
              </w:rPr>
              <w:drawing>
                <wp:inline distT="0" distB="0" distL="114300" distR="114300">
                  <wp:extent cx="4023995" cy="2952115"/>
                  <wp:effectExtent l="0" t="0" r="14605" b="4445"/>
                  <wp:docPr id="14" name="图片 14" descr="1689084640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689084640948"/>
                          <pic:cNvPicPr>
                            <a:picLocks noChangeAspect="1"/>
                          </pic:cNvPicPr>
                        </pic:nvPicPr>
                        <pic:blipFill>
                          <a:blip r:embed="rId12"/>
                          <a:stretch>
                            <a:fillRect/>
                          </a:stretch>
                        </pic:blipFill>
                        <pic:spPr>
                          <a:xfrm>
                            <a:off x="0" y="0"/>
                            <a:ext cx="4023995" cy="295211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520" w:type="dxa"/>
            <w:tcBorders>
              <w:top w:val="nil"/>
              <w:left w:val="nil"/>
              <w:bottom w:val="nil"/>
              <w:right w:val="nil"/>
            </w:tcBorders>
            <w:vAlign w:val="center"/>
          </w:tcPr>
          <w:p>
            <w:pPr>
              <w:ind w:firstLine="0" w:firstLineChars="0"/>
              <w:jc w:val="center"/>
              <w:rPr>
                <w:color w:val="000000"/>
                <w:szCs w:val="24"/>
              </w:rPr>
            </w:pPr>
            <w:r>
              <w:rPr>
                <w:rFonts w:hint="eastAsia"/>
                <w:color w:val="000000"/>
                <w:sz w:val="21"/>
                <w:szCs w:val="21"/>
              </w:rPr>
              <w:t>a 立面图 （单位：m</w:t>
            </w:r>
            <w:r>
              <w:rPr>
                <w:color w:val="000000"/>
                <w:sz w:val="21"/>
                <w:szCs w:val="21"/>
              </w:rPr>
              <w:t>m</w:t>
            </w:r>
            <w:r>
              <w:rPr>
                <w:rFonts w:hint="eastAsia"/>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0" w:type="dxa"/>
            <w:tcBorders>
              <w:top w:val="nil"/>
              <w:left w:val="nil"/>
              <w:bottom w:val="nil"/>
              <w:right w:val="nil"/>
            </w:tcBorders>
            <w:vAlign w:val="center"/>
          </w:tcPr>
          <w:p>
            <w:pPr>
              <w:ind w:firstLine="0" w:firstLineChars="0"/>
              <w:jc w:val="center"/>
              <w:rPr>
                <w:color w:val="000000"/>
                <w:szCs w:val="24"/>
              </w:rPr>
            </w:pPr>
            <w:r>
              <w:rPr>
                <w:rFonts w:hint="eastAsia"/>
                <w:color w:val="000000"/>
                <w:szCs w:val="24"/>
              </w:rPr>
              <w:drawing>
                <wp:inline distT="0" distB="0" distL="114300" distR="114300">
                  <wp:extent cx="4284980" cy="2073910"/>
                  <wp:effectExtent l="0" t="0" r="1270" b="2540"/>
                  <wp:docPr id="6" name="图片 6" descr="168900620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89006203375"/>
                          <pic:cNvPicPr>
                            <a:picLocks noChangeAspect="1"/>
                          </pic:cNvPicPr>
                        </pic:nvPicPr>
                        <pic:blipFill>
                          <a:blip r:embed="rId13"/>
                          <a:srcRect t="6397" b="3718"/>
                          <a:stretch>
                            <a:fillRect/>
                          </a:stretch>
                        </pic:blipFill>
                        <pic:spPr>
                          <a:xfrm>
                            <a:off x="0" y="0"/>
                            <a:ext cx="4284980" cy="2074460"/>
                          </a:xfrm>
                          <a:prstGeom prst="rect">
                            <a:avLst/>
                          </a:prstGeom>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0" w:type="dxa"/>
            <w:tcBorders>
              <w:top w:val="nil"/>
              <w:left w:val="nil"/>
              <w:bottom w:val="nil"/>
              <w:right w:val="nil"/>
            </w:tcBorders>
            <w:vAlign w:val="center"/>
          </w:tcPr>
          <w:p>
            <w:pPr>
              <w:spacing w:after="156" w:afterLines="50"/>
              <w:ind w:firstLine="0" w:firstLineChars="0"/>
              <w:jc w:val="center"/>
              <w:rPr>
                <w:color w:val="000000"/>
                <w:sz w:val="21"/>
                <w:szCs w:val="21"/>
              </w:rPr>
            </w:pPr>
            <w:r>
              <w:rPr>
                <w:rFonts w:hint="eastAsia"/>
                <w:color w:val="000000"/>
                <w:sz w:val="21"/>
                <w:szCs w:val="21"/>
              </w:rPr>
              <w:t>b 俯视图 （单位：m</w:t>
            </w:r>
            <w:r>
              <w:rPr>
                <w:color w:val="000000"/>
                <w:sz w:val="21"/>
                <w:szCs w:val="21"/>
              </w:rPr>
              <w:t>m</w:t>
            </w:r>
            <w:r>
              <w:rPr>
                <w:rFonts w:hint="eastAsia"/>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520" w:type="dxa"/>
            <w:tcBorders>
              <w:top w:val="nil"/>
              <w:left w:val="nil"/>
              <w:bottom w:val="nil"/>
              <w:right w:val="nil"/>
            </w:tcBorders>
            <w:vAlign w:val="center"/>
          </w:tcPr>
          <w:p>
            <w:pPr>
              <w:ind w:firstLine="0" w:firstLineChars="0"/>
              <w:jc w:val="center"/>
              <w:rPr>
                <w:color w:val="000000"/>
                <w:sz w:val="21"/>
                <w:szCs w:val="21"/>
              </w:rPr>
            </w:pPr>
            <w:r>
              <w:rPr>
                <w:rFonts w:hint="eastAsia"/>
                <w:b/>
                <w:bCs/>
                <w:color w:val="000000"/>
                <w:sz w:val="21"/>
                <w:szCs w:val="21"/>
              </w:rPr>
              <w:t>图1 结构模型总体设计示意图（提示：不局限于图示模型制作形式）</w:t>
            </w:r>
          </w:p>
        </w:tc>
      </w:tr>
    </w:tbl>
    <w:p>
      <w:pPr>
        <w:widowControl/>
        <w:ind w:firstLine="0" w:firstLineChars="0"/>
        <w:jc w:val="left"/>
        <w:rPr>
          <w:b/>
          <w:bCs/>
        </w:rPr>
      </w:pPr>
      <w:r>
        <w:rPr>
          <w:rFonts w:hint="eastAsia" w:ascii="宋体" w:hAnsi="宋体" w:cs="宋体"/>
          <w:b/>
          <w:bCs/>
          <w:color w:val="000000"/>
          <w:kern w:val="0"/>
          <w:sz w:val="32"/>
          <w:szCs w:val="32"/>
          <w:lang w:bidi="ar"/>
        </w:rPr>
        <w:t>四、竞赛内容</w:t>
      </w:r>
    </w:p>
    <w:p>
      <w:pPr>
        <w:widowControl/>
        <w:spacing w:line="360" w:lineRule="auto"/>
        <w:ind w:firstLine="480"/>
        <w:jc w:val="left"/>
        <w:rPr>
          <w:rStyle w:val="18"/>
          <w:rFonts w:ascii="Times New Roman" w:hAnsi="Times New Roman" w:cs="Times New Roman"/>
        </w:rPr>
      </w:pPr>
      <w:r>
        <w:rPr>
          <w:rStyle w:val="18"/>
          <w:rFonts w:hint="eastAsia" w:ascii="Times New Roman" w:hAnsi="Times New Roman" w:cs="Times New Roman"/>
        </w:rPr>
        <w:t xml:space="preserve">本届模型竞赛的主要内容包括： </w:t>
      </w:r>
    </w:p>
    <w:p>
      <w:pPr>
        <w:widowControl/>
        <w:spacing w:line="360" w:lineRule="auto"/>
        <w:ind w:firstLine="480"/>
        <w:jc w:val="left"/>
        <w:rPr>
          <w:rStyle w:val="18"/>
          <w:rFonts w:ascii="Times New Roman" w:hAnsi="Times New Roman" w:cs="Times New Roman"/>
        </w:rPr>
      </w:pPr>
      <w:r>
        <w:rPr>
          <w:rStyle w:val="18"/>
          <w:rFonts w:hint="eastAsia" w:ascii="Times New Roman" w:hAnsi="Times New Roman" w:cs="Times New Roman"/>
        </w:rPr>
        <w:t>（</w:t>
      </w:r>
      <w:r>
        <w:rPr>
          <w:rStyle w:val="18"/>
          <w:rFonts w:ascii="Times New Roman" w:hAnsi="Times New Roman" w:cs="Times New Roman"/>
        </w:rPr>
        <w:t>1</w:t>
      </w:r>
      <w:r>
        <w:rPr>
          <w:rStyle w:val="18"/>
          <w:rFonts w:hint="eastAsia" w:ascii="Times New Roman" w:hAnsi="Times New Roman" w:cs="Times New Roman"/>
        </w:rPr>
        <w:t>）双层地下空间</w:t>
      </w:r>
      <w:r>
        <w:rPr>
          <w:rStyle w:val="18"/>
          <w:rFonts w:hint="eastAsia" w:cs="Times New Roman"/>
        </w:rPr>
        <w:t>结构</w:t>
      </w:r>
      <w:r>
        <w:rPr>
          <w:rStyle w:val="18"/>
          <w:rFonts w:hint="eastAsia" w:ascii="Times New Roman" w:hAnsi="Times New Roman" w:cs="Times New Roman"/>
        </w:rPr>
        <w:t xml:space="preserve">模型的设计与计算； </w:t>
      </w:r>
    </w:p>
    <w:p>
      <w:pPr>
        <w:widowControl/>
        <w:spacing w:line="360" w:lineRule="auto"/>
        <w:ind w:firstLine="480"/>
        <w:jc w:val="left"/>
        <w:rPr>
          <w:rStyle w:val="18"/>
          <w:rFonts w:ascii="Times New Roman" w:hAnsi="Times New Roman" w:cs="Times New Roman"/>
        </w:rPr>
      </w:pPr>
      <w:r>
        <w:rPr>
          <w:rStyle w:val="18"/>
          <w:rFonts w:hint="eastAsia" w:ascii="Times New Roman" w:hAnsi="Times New Roman" w:cs="Times New Roman"/>
        </w:rPr>
        <w:t>（</w:t>
      </w:r>
      <w:r>
        <w:rPr>
          <w:rStyle w:val="18"/>
          <w:rFonts w:ascii="Times New Roman" w:hAnsi="Times New Roman" w:cs="Times New Roman"/>
        </w:rPr>
        <w:t>2</w:t>
      </w:r>
      <w:r>
        <w:rPr>
          <w:rStyle w:val="18"/>
          <w:rFonts w:hint="eastAsia" w:ascii="Times New Roman" w:hAnsi="Times New Roman" w:cs="Times New Roman"/>
        </w:rPr>
        <w:t>）</w:t>
      </w:r>
      <w:r>
        <w:rPr>
          <w:rStyle w:val="18"/>
          <w:rFonts w:hint="eastAsia" w:cs="Times New Roman"/>
        </w:rPr>
        <w:t>双层地下空间</w:t>
      </w:r>
      <w:r>
        <w:rPr>
          <w:rStyle w:val="18"/>
          <w:rFonts w:hint="eastAsia" w:ascii="Times New Roman" w:hAnsi="Times New Roman" w:cs="Times New Roman"/>
        </w:rPr>
        <w:t xml:space="preserve">结构模型现场制作； </w:t>
      </w:r>
    </w:p>
    <w:p>
      <w:pPr>
        <w:widowControl/>
        <w:spacing w:line="360" w:lineRule="auto"/>
        <w:ind w:firstLine="480"/>
        <w:jc w:val="left"/>
        <w:rPr>
          <w:rStyle w:val="18"/>
          <w:rFonts w:ascii="Times New Roman" w:hAnsi="Times New Roman" w:cs="Times New Roman"/>
        </w:rPr>
      </w:pPr>
      <w:r>
        <w:rPr>
          <w:rStyle w:val="18"/>
          <w:rFonts w:hint="eastAsia" w:ascii="Times New Roman" w:hAnsi="Times New Roman" w:cs="Times New Roman"/>
        </w:rPr>
        <w:t>（</w:t>
      </w:r>
      <w:r>
        <w:rPr>
          <w:rStyle w:val="18"/>
          <w:rFonts w:ascii="Times New Roman" w:hAnsi="Times New Roman" w:cs="Times New Roman"/>
        </w:rPr>
        <w:t>3</w:t>
      </w:r>
      <w:r>
        <w:rPr>
          <w:rStyle w:val="18"/>
          <w:rFonts w:hint="eastAsia" w:ascii="Times New Roman" w:hAnsi="Times New Roman" w:cs="Times New Roman"/>
        </w:rPr>
        <w:t>）</w:t>
      </w:r>
      <w:r>
        <w:rPr>
          <w:rStyle w:val="18"/>
          <w:rFonts w:hint="eastAsia" w:cs="Times New Roman"/>
        </w:rPr>
        <w:t>双层地下空间</w:t>
      </w:r>
      <w:r>
        <w:rPr>
          <w:rStyle w:val="18"/>
          <w:rFonts w:hint="eastAsia" w:ascii="Times New Roman" w:hAnsi="Times New Roman" w:cs="Times New Roman"/>
        </w:rPr>
        <w:t>结构模型现场加载。</w:t>
      </w:r>
    </w:p>
    <w:p>
      <w:pPr>
        <w:widowControl/>
        <w:ind w:firstLine="0" w:firstLineChars="0"/>
        <w:jc w:val="left"/>
        <w:rPr>
          <w:b/>
          <w:bCs/>
        </w:rPr>
      </w:pPr>
      <w:r>
        <w:rPr>
          <w:rFonts w:hint="eastAsia" w:ascii="宋体" w:hAnsi="宋体" w:cs="宋体"/>
          <w:b/>
          <w:bCs/>
          <w:color w:val="000000"/>
          <w:kern w:val="0"/>
          <w:sz w:val="32"/>
          <w:szCs w:val="32"/>
          <w:lang w:bidi="ar"/>
        </w:rPr>
        <w:t>五、结构模型制作</w:t>
      </w:r>
    </w:p>
    <w:p>
      <w:pPr>
        <w:spacing w:line="360" w:lineRule="auto"/>
        <w:ind w:firstLine="241" w:firstLineChars="100"/>
        <w:rPr>
          <w:rStyle w:val="18"/>
          <w:rFonts w:ascii="Times New Roman" w:hAnsi="Times New Roman" w:cs="Times New Roman"/>
          <w:b/>
          <w:bCs/>
        </w:rPr>
      </w:pPr>
      <w:r>
        <w:rPr>
          <w:rStyle w:val="18"/>
          <w:rFonts w:ascii="Times New Roman" w:hAnsi="Times New Roman" w:cs="Times New Roman"/>
          <w:b/>
          <w:bCs/>
        </w:rPr>
        <w:t>1.</w:t>
      </w:r>
      <w:r>
        <w:rPr>
          <w:rStyle w:val="18"/>
          <w:rFonts w:hint="eastAsia" w:ascii="Times New Roman" w:hAnsi="Times New Roman" w:cs="Times New Roman"/>
          <w:b/>
          <w:bCs/>
        </w:rPr>
        <w:t xml:space="preserve"> </w:t>
      </w:r>
      <w:r>
        <w:rPr>
          <w:rStyle w:val="18"/>
          <w:rFonts w:ascii="Times New Roman" w:hAnsi="Times New Roman" w:cs="Times New Roman"/>
          <w:b/>
          <w:bCs/>
        </w:rPr>
        <w:t>材料要求</w:t>
      </w:r>
    </w:p>
    <w:p>
      <w:pPr>
        <w:spacing w:line="360" w:lineRule="auto"/>
        <w:ind w:firstLine="482"/>
        <w:rPr>
          <w:rStyle w:val="18"/>
          <w:rFonts w:ascii="Times New Roman" w:hAnsi="Times New Roman" w:cs="Times New Roman"/>
          <w:b/>
          <w:bCs/>
        </w:rPr>
      </w:pPr>
      <w:r>
        <w:rPr>
          <w:rStyle w:val="18"/>
          <w:rFonts w:ascii="Times New Roman" w:hAnsi="Times New Roman" w:cs="Times New Roman"/>
          <w:b/>
          <w:bCs/>
        </w:rPr>
        <w:t>举办方提供以下设备与材料（比赛前</w:t>
      </w:r>
      <w:r>
        <w:rPr>
          <w:rStyle w:val="19"/>
          <w:rFonts w:ascii="Times New Roman" w:hAnsi="Times New Roman" w:cs="Times New Roman"/>
          <w:b/>
          <w:bCs/>
        </w:rPr>
        <w:t>15</w:t>
      </w:r>
      <w:r>
        <w:rPr>
          <w:rStyle w:val="18"/>
          <w:rFonts w:ascii="Times New Roman" w:hAnsi="Times New Roman" w:cs="Times New Roman"/>
          <w:b/>
          <w:bCs/>
        </w:rPr>
        <w:t>分钟由参赛</w:t>
      </w:r>
      <w:r>
        <w:rPr>
          <w:rStyle w:val="18"/>
          <w:rFonts w:hint="eastAsia" w:cs="Times New Roman"/>
          <w:b/>
          <w:bCs/>
        </w:rPr>
        <w:t>代表</w:t>
      </w:r>
      <w:r>
        <w:rPr>
          <w:rStyle w:val="18"/>
          <w:rFonts w:ascii="Times New Roman" w:hAnsi="Times New Roman" w:cs="Times New Roman"/>
          <w:b/>
          <w:bCs/>
        </w:rPr>
        <w:t>队检查确认）：</w:t>
      </w:r>
    </w:p>
    <w:p>
      <w:pPr>
        <w:spacing w:line="360" w:lineRule="auto"/>
        <w:ind w:firstLine="480"/>
        <w:rPr>
          <w:rStyle w:val="18"/>
          <w:rFonts w:ascii="Times New Roman" w:hAnsi="Times New Roman" w:cs="Times New Roman"/>
        </w:rPr>
      </w:pPr>
      <w:r>
        <w:rPr>
          <w:rStyle w:val="18"/>
          <w:rFonts w:ascii="Times New Roman" w:hAnsi="Times New Roman" w:cs="Times New Roman"/>
        </w:rPr>
        <w:t>（</w:t>
      </w:r>
      <w:r>
        <w:rPr>
          <w:rStyle w:val="19"/>
          <w:rFonts w:ascii="Times New Roman" w:hAnsi="Times New Roman" w:cs="Times New Roman"/>
        </w:rPr>
        <w:t>1</w:t>
      </w:r>
      <w:r>
        <w:rPr>
          <w:rStyle w:val="18"/>
          <w:rFonts w:ascii="Times New Roman" w:hAnsi="Times New Roman" w:cs="Times New Roman"/>
        </w:rPr>
        <w:t>）由亚克力板制作的模型箱，内壁尺寸为</w:t>
      </w:r>
      <w:r>
        <w:rPr>
          <w:rStyle w:val="19"/>
          <w:rFonts w:ascii="Times New Roman" w:hAnsi="Times New Roman" w:cs="Times New Roman"/>
        </w:rPr>
        <w:t>60cm×45cm×65cm</w:t>
      </w:r>
      <w:r>
        <w:rPr>
          <w:rStyle w:val="18"/>
          <w:rFonts w:ascii="Times New Roman" w:hAnsi="Times New Roman" w:cs="Times New Roman"/>
        </w:rPr>
        <w:t>（长</w:t>
      </w:r>
      <w:r>
        <w:rPr>
          <w:rStyle w:val="19"/>
          <w:rFonts w:ascii="Times New Roman" w:hAnsi="Times New Roman" w:cs="Times New Roman"/>
        </w:rPr>
        <w:t>×</w:t>
      </w:r>
      <w:r>
        <w:rPr>
          <w:rStyle w:val="18"/>
          <w:rFonts w:ascii="Times New Roman" w:hAnsi="Times New Roman" w:cs="Times New Roman"/>
        </w:rPr>
        <w:t>宽</w:t>
      </w:r>
      <w:r>
        <w:rPr>
          <w:rStyle w:val="19"/>
          <w:rFonts w:ascii="Times New Roman" w:hAnsi="Times New Roman" w:cs="Times New Roman"/>
        </w:rPr>
        <w:t>×</w:t>
      </w:r>
      <w:r>
        <w:rPr>
          <w:rStyle w:val="18"/>
          <w:rFonts w:ascii="Times New Roman" w:hAnsi="Times New Roman" w:cs="Times New Roman"/>
        </w:rPr>
        <w:t>高），侧板及底板板厚均为15mm，如图</w:t>
      </w:r>
      <w:r>
        <w:rPr>
          <w:rStyle w:val="19"/>
          <w:rFonts w:ascii="Times New Roman" w:hAnsi="Times New Roman" w:cs="Times New Roman"/>
        </w:rPr>
        <w:t>2</w:t>
      </w:r>
      <w:r>
        <w:rPr>
          <w:rStyle w:val="18"/>
          <w:rFonts w:hint="eastAsia" w:ascii="Times New Roman" w:hAnsi="Times New Roman" w:cs="Times New Roman"/>
        </w:rPr>
        <w:t>所</w:t>
      </w:r>
      <w:r>
        <w:rPr>
          <w:rStyle w:val="18"/>
          <w:rFonts w:ascii="Times New Roman" w:hAnsi="Times New Roman" w:cs="Times New Roman"/>
        </w:rPr>
        <w:t>示；</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Borders>
              <w:top w:val="nil"/>
              <w:left w:val="nil"/>
              <w:bottom w:val="nil"/>
              <w:right w:val="nil"/>
            </w:tcBorders>
          </w:tcPr>
          <w:p>
            <w:pPr>
              <w:ind w:firstLine="0" w:firstLineChars="0"/>
              <w:jc w:val="center"/>
              <w:rPr>
                <w:color w:val="000000"/>
                <w:szCs w:val="24"/>
              </w:rPr>
            </w:pPr>
            <w:r>
              <w:rPr>
                <w:color w:val="000000"/>
                <w:szCs w:val="24"/>
              </w:rPr>
              <w:drawing>
                <wp:inline distT="0" distB="0" distL="114300" distR="114300">
                  <wp:extent cx="3928110" cy="3307080"/>
                  <wp:effectExtent l="0" t="0" r="3810" b="0"/>
                  <wp:docPr id="1" name="图片 1" descr="1689005839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89005839882"/>
                          <pic:cNvPicPr>
                            <a:picLocks noChangeAspect="1"/>
                          </pic:cNvPicPr>
                        </pic:nvPicPr>
                        <pic:blipFill>
                          <a:blip r:embed="rId14"/>
                          <a:stretch>
                            <a:fillRect/>
                          </a:stretch>
                        </pic:blipFill>
                        <pic:spPr>
                          <a:xfrm>
                            <a:off x="0" y="0"/>
                            <a:ext cx="3928110" cy="330708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Borders>
              <w:top w:val="nil"/>
              <w:left w:val="nil"/>
              <w:bottom w:val="nil"/>
              <w:right w:val="nil"/>
            </w:tcBorders>
          </w:tcPr>
          <w:p>
            <w:pPr>
              <w:spacing w:after="156" w:afterLines="50"/>
              <w:ind w:firstLine="0" w:firstLineChars="0"/>
              <w:jc w:val="center"/>
              <w:rPr>
                <w:color w:val="000000"/>
                <w:szCs w:val="24"/>
              </w:rPr>
            </w:pPr>
            <w:r>
              <w:rPr>
                <w:rFonts w:hint="eastAsia"/>
                <w:b/>
                <w:bCs/>
                <w:color w:val="000000"/>
                <w:sz w:val="21"/>
                <w:szCs w:val="21"/>
              </w:rPr>
              <w:t>图2 模型箱内尺寸示意图</w:t>
            </w:r>
          </w:p>
        </w:tc>
      </w:tr>
    </w:tbl>
    <w:p>
      <w:pPr>
        <w:numPr>
          <w:ilvl w:val="0"/>
          <w:numId w:val="1"/>
        </w:numPr>
        <w:spacing w:line="360" w:lineRule="auto"/>
        <w:ind w:firstLine="480"/>
        <w:rPr>
          <w:color w:val="000000"/>
          <w:szCs w:val="24"/>
        </w:rPr>
      </w:pPr>
      <w:r>
        <w:rPr>
          <w:rFonts w:hint="eastAsia"/>
          <w:color w:val="000000"/>
          <w:szCs w:val="24"/>
        </w:rPr>
        <w:t>标准砂</w:t>
      </w:r>
      <w:r>
        <w:rPr>
          <w:color w:val="000000"/>
          <w:szCs w:val="24"/>
        </w:rPr>
        <w:t>（ISO），粒径</w:t>
      </w:r>
      <w:r>
        <w:rPr>
          <w:rFonts w:eastAsia="TimesNewRomanPSMT"/>
          <w:color w:val="000000"/>
          <w:szCs w:val="24"/>
        </w:rPr>
        <w:t>0.1mm~1.0mm</w:t>
      </w:r>
      <w:r>
        <w:rPr>
          <w:rFonts w:hint="eastAsia"/>
          <w:color w:val="000000"/>
          <w:szCs w:val="24"/>
        </w:rPr>
        <w:t>；</w:t>
      </w:r>
    </w:p>
    <w:p>
      <w:pPr>
        <w:numPr>
          <w:ilvl w:val="0"/>
          <w:numId w:val="1"/>
        </w:numPr>
        <w:spacing w:line="360" w:lineRule="auto"/>
        <w:ind w:firstLine="480"/>
        <w:rPr>
          <w:color w:val="000000"/>
          <w:szCs w:val="24"/>
        </w:rPr>
      </w:pPr>
      <w:r>
        <w:rPr>
          <w:color w:val="000000"/>
          <w:szCs w:val="24"/>
        </w:rPr>
        <w:t>白卡纸，规格：230g/m</w:t>
      </w:r>
      <w:r>
        <w:rPr>
          <w:color w:val="000000"/>
          <w:szCs w:val="24"/>
          <w:vertAlign w:val="superscript"/>
        </w:rPr>
        <w:t>2</w:t>
      </w:r>
      <w:r>
        <w:rPr>
          <w:color w:val="000000"/>
          <w:szCs w:val="24"/>
        </w:rPr>
        <w:t>，尺寸：787mm×1092mm</w:t>
      </w:r>
      <w:r>
        <w:rPr>
          <w:rFonts w:hint="eastAsia"/>
          <w:color w:val="000000"/>
          <w:szCs w:val="24"/>
        </w:rPr>
        <w:t>；</w:t>
      </w:r>
    </w:p>
    <w:p>
      <w:pPr>
        <w:numPr>
          <w:ilvl w:val="0"/>
          <w:numId w:val="1"/>
        </w:numPr>
        <w:spacing w:line="360" w:lineRule="auto"/>
        <w:ind w:firstLine="480"/>
        <w:rPr>
          <w:color w:val="000000"/>
          <w:szCs w:val="24"/>
        </w:rPr>
      </w:pPr>
      <w:r>
        <w:rPr>
          <w:color w:val="000000"/>
          <w:szCs w:val="24"/>
        </w:rPr>
        <w:t>速干白乳胶</w:t>
      </w:r>
      <w:r>
        <w:rPr>
          <w:rFonts w:hint="eastAsia"/>
          <w:color w:val="000000"/>
          <w:szCs w:val="24"/>
        </w:rPr>
        <w:t>（得力68602）</w:t>
      </w:r>
      <w:r>
        <w:rPr>
          <w:color w:val="000000"/>
          <w:szCs w:val="24"/>
        </w:rPr>
        <w:t>、双面胶带</w:t>
      </w:r>
      <w:r>
        <w:rPr>
          <w:rFonts w:hint="eastAsia"/>
          <w:color w:val="000000"/>
          <w:szCs w:val="24"/>
        </w:rPr>
        <w:t>（得力30402）；</w:t>
      </w:r>
    </w:p>
    <w:p>
      <w:pPr>
        <w:numPr>
          <w:ilvl w:val="0"/>
          <w:numId w:val="1"/>
        </w:numPr>
        <w:spacing w:line="360" w:lineRule="auto"/>
        <w:ind w:firstLine="480"/>
        <w:rPr>
          <w:color w:val="000000"/>
          <w:szCs w:val="24"/>
        </w:rPr>
      </w:pPr>
      <w:r>
        <w:rPr>
          <w:color w:val="000000"/>
          <w:szCs w:val="24"/>
        </w:rPr>
        <w:t>剪刀、美工刀</w:t>
      </w:r>
      <w:r>
        <w:rPr>
          <w:rFonts w:hint="eastAsia"/>
          <w:color w:val="000000"/>
          <w:szCs w:val="24"/>
        </w:rPr>
        <w:t>；</w:t>
      </w:r>
    </w:p>
    <w:p>
      <w:pPr>
        <w:numPr>
          <w:ilvl w:val="0"/>
          <w:numId w:val="1"/>
        </w:numPr>
        <w:spacing w:line="360" w:lineRule="auto"/>
        <w:ind w:firstLine="480"/>
        <w:rPr>
          <w:color w:val="000000"/>
          <w:szCs w:val="24"/>
          <w:shd w:val="clear" w:color="FFFFFF" w:fill="D9D9D9"/>
        </w:rPr>
      </w:pPr>
      <w:r>
        <w:rPr>
          <w:color w:val="000000"/>
          <w:szCs w:val="24"/>
        </w:rPr>
        <w:t>填砂</w:t>
      </w:r>
      <w:r>
        <w:rPr>
          <w:rFonts w:hint="eastAsia"/>
          <w:color w:val="000000"/>
          <w:szCs w:val="24"/>
        </w:rPr>
        <w:t>、整平</w:t>
      </w:r>
      <w:r>
        <w:rPr>
          <w:color w:val="000000"/>
          <w:szCs w:val="24"/>
        </w:rPr>
        <w:t>的工具</w:t>
      </w:r>
      <w:r>
        <w:rPr>
          <w:rFonts w:hint="eastAsia"/>
          <w:color w:val="000000"/>
          <w:szCs w:val="24"/>
        </w:rPr>
        <w:t>；</w:t>
      </w:r>
    </w:p>
    <w:p>
      <w:pPr>
        <w:numPr>
          <w:ilvl w:val="0"/>
          <w:numId w:val="1"/>
        </w:numPr>
        <w:spacing w:line="360" w:lineRule="auto"/>
        <w:ind w:firstLine="480"/>
        <w:rPr>
          <w:color w:val="000000"/>
          <w:szCs w:val="24"/>
          <w:shd w:val="clear" w:color="FFFFFF" w:fill="D9D9D9"/>
        </w:rPr>
      </w:pPr>
      <w:r>
        <w:rPr>
          <w:rFonts w:hint="eastAsia"/>
          <w:color w:val="000000"/>
          <w:szCs w:val="24"/>
        </w:rPr>
        <w:t>百分表</w:t>
      </w:r>
      <w:r>
        <w:rPr>
          <w:color w:val="000000"/>
          <w:szCs w:val="24"/>
        </w:rPr>
        <w:t>、加载砝码</w:t>
      </w:r>
      <w:r>
        <w:rPr>
          <w:rFonts w:hint="eastAsia"/>
          <w:color w:val="000000"/>
          <w:szCs w:val="24"/>
        </w:rPr>
        <w:t>；</w:t>
      </w:r>
    </w:p>
    <w:p>
      <w:pPr>
        <w:numPr>
          <w:ilvl w:val="0"/>
          <w:numId w:val="1"/>
        </w:numPr>
        <w:spacing w:line="360" w:lineRule="auto"/>
        <w:ind w:firstLine="480"/>
        <w:rPr>
          <w:color w:val="000000"/>
          <w:szCs w:val="24"/>
          <w:shd w:val="clear" w:color="FFFFFF" w:fill="D9D9D9"/>
        </w:rPr>
      </w:pPr>
      <w:r>
        <w:rPr>
          <w:rFonts w:hint="eastAsia" w:ascii="宋体" w:hAnsi="宋体" w:cs="宋体"/>
          <w:color w:val="000000"/>
          <w:kern w:val="0"/>
          <w:szCs w:val="24"/>
          <w:lang w:bidi="ar"/>
        </w:rPr>
        <w:t>加载板一个，尺寸为</w:t>
      </w:r>
      <w:r>
        <w:rPr>
          <w:rStyle w:val="19"/>
          <w:rFonts w:hint="eastAsia" w:cs="Times New Roman"/>
        </w:rPr>
        <w:t xml:space="preserve"> 59</w:t>
      </w:r>
      <w:r>
        <w:rPr>
          <w:rStyle w:val="19"/>
          <w:rFonts w:cs="Times New Roman"/>
        </w:rPr>
        <w:t>0mm</w:t>
      </w:r>
      <w:r>
        <w:rPr>
          <w:rStyle w:val="19"/>
          <w:rFonts w:hint="eastAsia" w:cs="Times New Roman"/>
        </w:rPr>
        <w:t>×</w:t>
      </w:r>
      <w:r>
        <w:rPr>
          <w:rStyle w:val="19"/>
          <w:rFonts w:cs="Times New Roman"/>
        </w:rPr>
        <w:t>4</w:t>
      </w:r>
      <w:r>
        <w:rPr>
          <w:rStyle w:val="19"/>
          <w:rFonts w:hint="eastAsia" w:cs="Times New Roman"/>
        </w:rPr>
        <w:t>4</w:t>
      </w:r>
      <w:r>
        <w:rPr>
          <w:rStyle w:val="19"/>
          <w:rFonts w:cs="Times New Roman"/>
        </w:rPr>
        <w:t>0mm</w:t>
      </w:r>
      <w:r>
        <w:rPr>
          <w:rStyle w:val="19"/>
          <w:rFonts w:hint="eastAsia" w:cs="Times New Roman"/>
        </w:rPr>
        <w:t>×</w:t>
      </w:r>
      <w:r>
        <w:rPr>
          <w:rStyle w:val="19"/>
          <w:rFonts w:cs="Times New Roman"/>
        </w:rPr>
        <w:t>7mm</w:t>
      </w:r>
      <w:r>
        <w:rPr>
          <w:rStyle w:val="19"/>
          <w:rFonts w:hint="eastAsia" w:cs="Times New Roman"/>
        </w:rPr>
        <w:t>，</w:t>
      </w:r>
      <w:r>
        <w:rPr>
          <w:rFonts w:hint="eastAsia" w:ascii="宋体" w:hAnsi="宋体" w:cs="宋体"/>
          <w:color w:val="000000"/>
          <w:kern w:val="0"/>
          <w:szCs w:val="24"/>
          <w:lang w:bidi="ar"/>
        </w:rPr>
        <w:t>材</w:t>
      </w:r>
      <w:r>
        <w:rPr>
          <w:rStyle w:val="19"/>
          <w:rFonts w:hint="eastAsia" w:cs="Times New Roman"/>
        </w:rPr>
        <w:t>料为</w:t>
      </w:r>
      <w:r>
        <w:rPr>
          <w:rStyle w:val="19"/>
          <w:rFonts w:cs="Times New Roman"/>
        </w:rPr>
        <w:t>45</w:t>
      </w:r>
      <w:r>
        <w:rPr>
          <w:rStyle w:val="19"/>
          <w:rFonts w:hint="eastAsia" w:cs="Times New Roman"/>
        </w:rPr>
        <w:t>号钢，约</w:t>
      </w:r>
      <w:r>
        <w:rPr>
          <w:rStyle w:val="19"/>
          <w:rFonts w:cs="Times New Roman"/>
        </w:rPr>
        <w:t>1</w:t>
      </w:r>
      <w:r>
        <w:rPr>
          <w:rStyle w:val="19"/>
          <w:rFonts w:hint="eastAsia" w:cs="Times New Roman"/>
        </w:rPr>
        <w:t>4.3</w:t>
      </w:r>
      <w:r>
        <w:rPr>
          <w:rStyle w:val="19"/>
          <w:rFonts w:cs="Times New Roman"/>
        </w:rPr>
        <w:t>kg</w:t>
      </w:r>
      <w:r>
        <w:rPr>
          <w:rStyle w:val="19"/>
          <w:rFonts w:hint="eastAsia" w:cs="Times New Roman"/>
        </w:rPr>
        <w:t>。</w:t>
      </w:r>
    </w:p>
    <w:p>
      <w:pPr>
        <w:spacing w:line="360" w:lineRule="auto"/>
        <w:ind w:firstLine="482"/>
        <w:rPr>
          <w:b/>
          <w:bCs/>
          <w:color w:val="000000"/>
          <w:szCs w:val="24"/>
        </w:rPr>
      </w:pPr>
      <w:r>
        <w:rPr>
          <w:b/>
          <w:bCs/>
          <w:color w:val="000000"/>
          <w:szCs w:val="24"/>
        </w:rPr>
        <w:t>参赛</w:t>
      </w:r>
      <w:r>
        <w:rPr>
          <w:rFonts w:hint="eastAsia"/>
          <w:b/>
          <w:bCs/>
          <w:color w:val="000000"/>
          <w:szCs w:val="24"/>
        </w:rPr>
        <w:t>代表</w:t>
      </w:r>
      <w:r>
        <w:rPr>
          <w:b/>
          <w:bCs/>
          <w:color w:val="000000"/>
          <w:szCs w:val="24"/>
        </w:rPr>
        <w:t>队自备的材料（比赛前</w:t>
      </w:r>
      <w:r>
        <w:rPr>
          <w:rFonts w:eastAsia="TimesNewRomanPSMT"/>
          <w:b/>
          <w:bCs/>
          <w:color w:val="000000"/>
          <w:szCs w:val="24"/>
        </w:rPr>
        <w:t>15</w:t>
      </w:r>
      <w:r>
        <w:rPr>
          <w:b/>
          <w:bCs/>
          <w:color w:val="000000"/>
          <w:szCs w:val="24"/>
        </w:rPr>
        <w:t>分钟由评审小组检查确认）：</w:t>
      </w:r>
    </w:p>
    <w:p>
      <w:pPr>
        <w:spacing w:line="360" w:lineRule="auto"/>
        <w:ind w:firstLine="480"/>
        <w:rPr>
          <w:color w:val="000000"/>
          <w:szCs w:val="24"/>
        </w:rPr>
      </w:pPr>
      <w:r>
        <w:rPr>
          <w:color w:val="000000"/>
          <w:szCs w:val="24"/>
        </w:rPr>
        <w:t>（</w:t>
      </w:r>
      <w:r>
        <w:rPr>
          <w:rFonts w:eastAsia="TimesNewRomanPSMT"/>
          <w:color w:val="000000"/>
          <w:szCs w:val="24"/>
        </w:rPr>
        <w:t>1</w:t>
      </w:r>
      <w:r>
        <w:rPr>
          <w:color w:val="000000"/>
          <w:szCs w:val="24"/>
        </w:rPr>
        <w:t>）尺子（型式不限）</w:t>
      </w:r>
      <w:r>
        <w:rPr>
          <w:rFonts w:hint="eastAsia"/>
          <w:color w:val="000000"/>
          <w:szCs w:val="24"/>
        </w:rPr>
        <w:t>；</w:t>
      </w:r>
    </w:p>
    <w:p>
      <w:pPr>
        <w:spacing w:line="360" w:lineRule="auto"/>
        <w:ind w:firstLine="480"/>
        <w:rPr>
          <w:color w:val="000000"/>
          <w:szCs w:val="24"/>
        </w:rPr>
      </w:pPr>
      <w:r>
        <w:rPr>
          <w:color w:val="000000"/>
          <w:szCs w:val="24"/>
        </w:rPr>
        <w:t>（</w:t>
      </w:r>
      <w:r>
        <w:rPr>
          <w:rFonts w:eastAsia="TimesNewRomanPSMT"/>
          <w:color w:val="000000"/>
          <w:szCs w:val="24"/>
        </w:rPr>
        <w:t>2</w:t>
      </w:r>
      <w:r>
        <w:rPr>
          <w:color w:val="000000"/>
          <w:szCs w:val="24"/>
        </w:rPr>
        <w:t>）标记用的笔（型式不限）</w:t>
      </w:r>
      <w:r>
        <w:rPr>
          <w:rFonts w:hint="eastAsia"/>
          <w:color w:val="000000"/>
          <w:szCs w:val="24"/>
        </w:rPr>
        <w:t>；</w:t>
      </w:r>
    </w:p>
    <w:p>
      <w:pPr>
        <w:spacing w:line="360" w:lineRule="auto"/>
        <w:ind w:firstLine="480"/>
        <w:rPr>
          <w:color w:val="000000"/>
          <w:szCs w:val="24"/>
        </w:rPr>
      </w:pPr>
      <w:r>
        <w:rPr>
          <w:color w:val="000000"/>
          <w:szCs w:val="24"/>
        </w:rPr>
        <w:t>（</w:t>
      </w:r>
      <w:r>
        <w:rPr>
          <w:rFonts w:eastAsia="TimesNewRomanPSMT"/>
          <w:color w:val="000000"/>
          <w:szCs w:val="24"/>
        </w:rPr>
        <w:t>3</w:t>
      </w:r>
      <w:r>
        <w:rPr>
          <w:color w:val="000000"/>
          <w:szCs w:val="24"/>
        </w:rPr>
        <w:t>）经评审小组确认的自制辅助工具，如</w:t>
      </w:r>
      <w:r>
        <w:rPr>
          <w:rFonts w:hint="eastAsia"/>
          <w:color w:val="000000"/>
          <w:szCs w:val="24"/>
        </w:rPr>
        <w:t>填砂</w:t>
      </w:r>
      <w:r>
        <w:rPr>
          <w:color w:val="000000"/>
          <w:szCs w:val="24"/>
        </w:rPr>
        <w:t>工具、辅助制作结构的工具等</w:t>
      </w:r>
      <w:r>
        <w:rPr>
          <w:rFonts w:hint="eastAsia"/>
          <w:color w:val="000000"/>
          <w:szCs w:val="24"/>
        </w:rPr>
        <w:t>；</w:t>
      </w:r>
    </w:p>
    <w:p>
      <w:pPr>
        <w:spacing w:line="360" w:lineRule="auto"/>
        <w:ind w:firstLine="480"/>
        <w:rPr>
          <w:color w:val="000000"/>
          <w:szCs w:val="24"/>
        </w:rPr>
      </w:pPr>
      <w:r>
        <w:rPr>
          <w:color w:val="000000"/>
          <w:szCs w:val="24"/>
        </w:rPr>
        <w:t>（</w:t>
      </w:r>
      <w:r>
        <w:rPr>
          <w:rFonts w:eastAsia="TimesNewRomanPSMT"/>
          <w:color w:val="000000"/>
          <w:szCs w:val="24"/>
        </w:rPr>
        <w:t>4</w:t>
      </w:r>
      <w:r>
        <w:rPr>
          <w:color w:val="000000"/>
          <w:szCs w:val="24"/>
        </w:rPr>
        <w:t>）记录本、图纸、计算器等辅助材料</w:t>
      </w:r>
      <w:r>
        <w:rPr>
          <w:rFonts w:hint="eastAsia"/>
          <w:color w:val="000000"/>
          <w:szCs w:val="24"/>
        </w:rPr>
        <w:t>；</w:t>
      </w:r>
    </w:p>
    <w:p>
      <w:pPr>
        <w:spacing w:line="360" w:lineRule="auto"/>
        <w:ind w:firstLine="480"/>
        <w:rPr>
          <w:rStyle w:val="18"/>
          <w:rFonts w:ascii="Times New Roman" w:hAnsi="Times New Roman" w:cs="Times New Roman"/>
        </w:rPr>
      </w:pPr>
      <w:r>
        <w:rPr>
          <w:color w:val="000000"/>
          <w:szCs w:val="24"/>
        </w:rPr>
        <w:t>（</w:t>
      </w:r>
      <w:r>
        <w:rPr>
          <w:rFonts w:eastAsia="TimesNewRomanPSMT"/>
          <w:color w:val="000000"/>
          <w:szCs w:val="24"/>
        </w:rPr>
        <w:t>5</w:t>
      </w:r>
      <w:r>
        <w:rPr>
          <w:color w:val="000000"/>
          <w:szCs w:val="24"/>
        </w:rPr>
        <w:t>）其它经评审小组确认可以携带的材料</w:t>
      </w:r>
      <w:r>
        <w:rPr>
          <w:rFonts w:hint="eastAsia"/>
          <w:color w:val="000000"/>
          <w:szCs w:val="24"/>
        </w:rPr>
        <w:t>。</w:t>
      </w:r>
    </w:p>
    <w:p>
      <w:pPr>
        <w:spacing w:line="360" w:lineRule="auto"/>
        <w:ind w:firstLine="241" w:firstLineChars="100"/>
        <w:rPr>
          <w:rStyle w:val="18"/>
          <w:rFonts w:ascii="Times New Roman" w:hAnsi="Times New Roman" w:cs="Times New Roman"/>
          <w:b/>
          <w:bCs/>
        </w:rPr>
      </w:pPr>
      <w:r>
        <w:rPr>
          <w:rStyle w:val="18"/>
          <w:rFonts w:ascii="Times New Roman" w:hAnsi="Times New Roman" w:cs="Times New Roman"/>
          <w:b/>
          <w:bCs/>
        </w:rPr>
        <w:t>2.</w:t>
      </w:r>
      <w:r>
        <w:rPr>
          <w:rStyle w:val="18"/>
          <w:rFonts w:hint="eastAsia" w:ascii="Times New Roman" w:hAnsi="Times New Roman" w:cs="Times New Roman"/>
          <w:b/>
          <w:bCs/>
        </w:rPr>
        <w:t xml:space="preserve"> </w:t>
      </w:r>
      <w:r>
        <w:rPr>
          <w:rStyle w:val="18"/>
          <w:rFonts w:ascii="Times New Roman" w:hAnsi="Times New Roman" w:cs="Times New Roman"/>
          <w:b/>
          <w:bCs/>
        </w:rPr>
        <w:t>模型形式要求</w:t>
      </w:r>
    </w:p>
    <w:p>
      <w:pPr>
        <w:spacing w:line="360" w:lineRule="auto"/>
        <w:ind w:firstLine="480"/>
        <w:rPr>
          <w:color w:val="000000"/>
          <w:szCs w:val="24"/>
        </w:rPr>
      </w:pPr>
      <w:r>
        <w:rPr>
          <w:color w:val="000000"/>
          <w:szCs w:val="24"/>
        </w:rPr>
        <w:t>（1）双</w:t>
      </w:r>
      <w:r>
        <w:rPr>
          <w:rFonts w:hint="eastAsia"/>
          <w:color w:val="000000"/>
          <w:szCs w:val="24"/>
        </w:rPr>
        <w:t>层地下空间</w:t>
      </w:r>
      <w:r>
        <w:rPr>
          <w:color w:val="000000"/>
          <w:szCs w:val="24"/>
        </w:rPr>
        <w:t>结构在</w:t>
      </w:r>
      <w:r>
        <w:rPr>
          <w:rFonts w:hint="eastAsia"/>
          <w:color w:val="000000"/>
          <w:szCs w:val="24"/>
        </w:rPr>
        <w:t>模型箱</w:t>
      </w:r>
      <w:r>
        <w:rPr>
          <w:color w:val="000000"/>
          <w:szCs w:val="24"/>
        </w:rPr>
        <w:t>宽度方向上的总跨度为4</w:t>
      </w:r>
      <w:r>
        <w:rPr>
          <w:rFonts w:hint="eastAsia"/>
          <w:color w:val="000000"/>
          <w:szCs w:val="24"/>
        </w:rPr>
        <w:t>5</w:t>
      </w:r>
      <w:r>
        <w:rPr>
          <w:color w:val="000000"/>
          <w:szCs w:val="24"/>
        </w:rPr>
        <w:t>0mm，在长度方向上的</w:t>
      </w:r>
      <w:r>
        <w:rPr>
          <w:rFonts w:hint="eastAsia"/>
          <w:b/>
          <w:color w:val="000000"/>
          <w:szCs w:val="24"/>
        </w:rPr>
        <w:t>净</w:t>
      </w:r>
      <w:r>
        <w:rPr>
          <w:b/>
          <w:color w:val="000000"/>
          <w:szCs w:val="24"/>
        </w:rPr>
        <w:t>跨度</w:t>
      </w:r>
      <w:r>
        <w:rPr>
          <w:rFonts w:hint="eastAsia"/>
          <w:i/>
          <w:color w:val="000000"/>
          <w:szCs w:val="24"/>
        </w:rPr>
        <w:t>L</w:t>
      </w:r>
      <w:r>
        <w:rPr>
          <w:rFonts w:hint="eastAsia"/>
          <w:i/>
          <w:color w:val="000000"/>
          <w:szCs w:val="24"/>
          <w:vertAlign w:val="subscript"/>
        </w:rPr>
        <w:t>w</w:t>
      </w:r>
      <w:r>
        <w:rPr>
          <w:color w:val="000000"/>
          <w:szCs w:val="24"/>
        </w:rPr>
        <w:t>≥</w:t>
      </w:r>
      <w:r>
        <w:rPr>
          <w:rFonts w:hint="eastAsia"/>
          <w:color w:val="000000"/>
          <w:szCs w:val="24"/>
        </w:rPr>
        <w:t>25</w:t>
      </w:r>
      <w:r>
        <w:rPr>
          <w:color w:val="000000"/>
          <w:szCs w:val="24"/>
        </w:rPr>
        <w:t>0mm且≤</w:t>
      </w:r>
      <w:r>
        <w:rPr>
          <w:rFonts w:hint="eastAsia"/>
          <w:color w:val="000000"/>
          <w:szCs w:val="24"/>
        </w:rPr>
        <w:t>35</w:t>
      </w:r>
      <w:r>
        <w:rPr>
          <w:color w:val="000000"/>
          <w:szCs w:val="24"/>
        </w:rPr>
        <w:t>0mm，结构的总高度</w:t>
      </w:r>
      <w:r>
        <w:rPr>
          <w:rFonts w:hint="eastAsia"/>
          <w:i/>
          <w:color w:val="000000"/>
          <w:szCs w:val="24"/>
        </w:rPr>
        <w:t>h</w:t>
      </w:r>
      <w:r>
        <w:rPr>
          <w:rFonts w:hint="eastAsia"/>
          <w:i/>
          <w:color w:val="000000"/>
          <w:szCs w:val="24"/>
          <w:vertAlign w:val="subscript"/>
        </w:rPr>
        <w:t>w</w:t>
      </w:r>
      <w:r>
        <w:rPr>
          <w:color w:val="000000"/>
          <w:szCs w:val="24"/>
        </w:rPr>
        <w:t>≤</w:t>
      </w:r>
      <w:r>
        <w:rPr>
          <w:rFonts w:hint="eastAsia"/>
          <w:color w:val="000000"/>
          <w:szCs w:val="24"/>
        </w:rPr>
        <w:t>46</w:t>
      </w:r>
      <w:r>
        <w:rPr>
          <w:color w:val="000000"/>
          <w:szCs w:val="24"/>
        </w:rPr>
        <w:t>0mm</w:t>
      </w:r>
      <w:r>
        <w:rPr>
          <w:rFonts w:hint="eastAsia"/>
          <w:color w:val="000000"/>
          <w:szCs w:val="24"/>
        </w:rPr>
        <w:t>（如图3所示）</w:t>
      </w:r>
      <w:r>
        <w:rPr>
          <w:color w:val="000000"/>
          <w:szCs w:val="24"/>
        </w:rPr>
        <w:t>，可以以多个柱子或墙体作为顶</w:t>
      </w:r>
      <w:r>
        <w:rPr>
          <w:rFonts w:hint="eastAsia"/>
          <w:color w:val="000000"/>
          <w:szCs w:val="24"/>
        </w:rPr>
        <w:t>板</w:t>
      </w:r>
      <w:r>
        <w:rPr>
          <w:color w:val="000000"/>
          <w:szCs w:val="24"/>
        </w:rPr>
        <w:t>支撑，</w:t>
      </w:r>
      <w:r>
        <w:rPr>
          <w:rFonts w:hint="eastAsia"/>
          <w:color w:val="000000"/>
          <w:szCs w:val="24"/>
        </w:rPr>
        <w:t>板</w:t>
      </w:r>
      <w:r>
        <w:rPr>
          <w:color w:val="000000"/>
          <w:szCs w:val="24"/>
        </w:rPr>
        <w:t>结构的形式不限，</w:t>
      </w:r>
      <w:r>
        <w:rPr>
          <w:rFonts w:hint="eastAsia"/>
          <w:color w:val="000000"/>
          <w:szCs w:val="24"/>
        </w:rPr>
        <w:t>其中模型中部要留有中板构件。</w:t>
      </w:r>
      <w:r>
        <w:rPr>
          <w:color w:val="000000"/>
          <w:szCs w:val="24"/>
        </w:rPr>
        <w:t>结构</w:t>
      </w:r>
      <w:r>
        <w:rPr>
          <w:rFonts w:hint="eastAsia"/>
          <w:color w:val="000000"/>
          <w:szCs w:val="24"/>
        </w:rPr>
        <w:t>两层的</w:t>
      </w:r>
      <w:r>
        <w:rPr>
          <w:color w:val="000000"/>
          <w:szCs w:val="24"/>
        </w:rPr>
        <w:t>内部空间需满足净空限界（图</w:t>
      </w:r>
      <w:r>
        <w:rPr>
          <w:rFonts w:hint="eastAsia"/>
          <w:color w:val="000000"/>
          <w:szCs w:val="24"/>
        </w:rPr>
        <w:t>4、图5</w:t>
      </w:r>
      <w:r>
        <w:rPr>
          <w:color w:val="000000"/>
          <w:szCs w:val="24"/>
        </w:rPr>
        <w:t>）的要求，净空限界的误差为</w:t>
      </w:r>
      <w:r>
        <w:rPr>
          <w:rFonts w:hint="eastAsia"/>
          <w:color w:val="000000"/>
          <w:szCs w:val="24"/>
        </w:rPr>
        <w:t xml:space="preserve"> </w:t>
      </w:r>
      <w:r>
        <w:rPr>
          <w:color w:val="000000"/>
          <w:szCs w:val="24"/>
        </w:rPr>
        <w:t>±5mm，同时可根据需要考虑基础设计，但不得侵入净空限界。以下各图仅为说明尺寸要求，不代表结构形式。</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2"/>
        <w:gridCol w:w="4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2"/>
            <w:tcBorders>
              <w:top w:val="nil"/>
              <w:left w:val="nil"/>
              <w:bottom w:val="nil"/>
              <w:right w:val="nil"/>
            </w:tcBorders>
          </w:tcPr>
          <w:p>
            <w:pPr>
              <w:ind w:firstLine="0" w:firstLineChars="0"/>
              <w:jc w:val="center"/>
              <w:rPr>
                <w:color w:val="000000"/>
                <w:szCs w:val="24"/>
              </w:rPr>
            </w:pPr>
            <w:r>
              <w:rPr>
                <w:rFonts w:hint="eastAsia"/>
                <w:color w:val="000000"/>
                <w:szCs w:val="24"/>
              </w:rPr>
              <w:drawing>
                <wp:inline distT="0" distB="0" distL="114300" distR="114300">
                  <wp:extent cx="1432560" cy="1994535"/>
                  <wp:effectExtent l="0" t="0" r="0" b="5715"/>
                  <wp:docPr id="11" name="图片 11" descr="168908454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89084548439"/>
                          <pic:cNvPicPr>
                            <a:picLocks noChangeAspect="1"/>
                          </pic:cNvPicPr>
                        </pic:nvPicPr>
                        <pic:blipFill>
                          <a:blip r:embed="rId15"/>
                          <a:srcRect r="55559"/>
                          <a:stretch>
                            <a:fillRect/>
                          </a:stretch>
                        </pic:blipFill>
                        <pic:spPr>
                          <a:xfrm>
                            <a:off x="0" y="0"/>
                            <a:ext cx="1433015" cy="1994535"/>
                          </a:xfrm>
                          <a:prstGeom prst="rect">
                            <a:avLst/>
                          </a:prstGeom>
                          <a:ln>
                            <a:noFill/>
                          </a:ln>
                        </pic:spPr>
                      </pic:pic>
                    </a:graphicData>
                  </a:graphic>
                </wp:inline>
              </w:drawing>
            </w:r>
            <w:r>
              <w:rPr>
                <w:rFonts w:hint="eastAsia"/>
                <w:color w:val="000000"/>
                <w:szCs w:val="24"/>
              </w:rPr>
              <w:t xml:space="preserve">   </w:t>
            </w:r>
            <w:r>
              <w:rPr>
                <w:color w:val="000000"/>
                <w:szCs w:val="24"/>
              </w:rPr>
              <w:t xml:space="preserve">            </w:t>
            </w:r>
            <w:r>
              <w:rPr>
                <w:rFonts w:hint="eastAsia"/>
                <w:color w:val="000000"/>
                <w:szCs w:val="24"/>
                <w:highlight w:val="green"/>
              </w:rPr>
              <w:drawing>
                <wp:inline distT="0" distB="0" distL="114300" distR="114300">
                  <wp:extent cx="1736725" cy="1977390"/>
                  <wp:effectExtent l="0" t="0" r="635" b="3810"/>
                  <wp:docPr id="7" name="图片 7" descr="169046419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90464193997"/>
                          <pic:cNvPicPr>
                            <a:picLocks noChangeAspect="1"/>
                          </pic:cNvPicPr>
                        </pic:nvPicPr>
                        <pic:blipFill>
                          <a:blip r:embed="rId16"/>
                          <a:srcRect l="47693"/>
                          <a:stretch>
                            <a:fillRect/>
                          </a:stretch>
                        </pic:blipFill>
                        <pic:spPr>
                          <a:xfrm>
                            <a:off x="0" y="0"/>
                            <a:ext cx="1759518" cy="2002637"/>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522" w:type="dxa"/>
            <w:gridSpan w:val="2"/>
            <w:tcBorders>
              <w:top w:val="nil"/>
              <w:left w:val="nil"/>
              <w:bottom w:val="nil"/>
              <w:right w:val="nil"/>
            </w:tcBorders>
          </w:tcPr>
          <w:p>
            <w:pPr>
              <w:ind w:firstLine="0" w:firstLineChars="0"/>
              <w:jc w:val="center"/>
              <w:rPr>
                <w:color w:val="000000"/>
                <w:sz w:val="21"/>
                <w:szCs w:val="21"/>
              </w:rPr>
            </w:pPr>
            <w:r>
              <w:rPr>
                <w:rFonts w:hint="eastAsia"/>
                <w:b/>
                <w:bCs/>
                <w:color w:val="000000"/>
                <w:sz w:val="21"/>
                <w:szCs w:val="21"/>
              </w:rPr>
              <w:t xml:space="preserve">图3 模型尺寸示意图 </w:t>
            </w:r>
            <w:r>
              <w:rPr>
                <w:rFonts w:hint="eastAsia"/>
                <w:color w:val="000000"/>
                <w:sz w:val="21"/>
                <w:szCs w:val="21"/>
              </w:rPr>
              <w:t>（单位：m</w:t>
            </w:r>
            <w:r>
              <w:rPr>
                <w:color w:val="000000"/>
                <w:sz w:val="21"/>
                <w:szCs w:val="21"/>
              </w:rPr>
              <w:t>m</w:t>
            </w:r>
            <w:r>
              <w:rPr>
                <w:rFonts w:hint="eastAsia"/>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61" w:type="dxa"/>
            <w:tcBorders>
              <w:top w:val="nil"/>
              <w:left w:val="nil"/>
              <w:bottom w:val="nil"/>
              <w:right w:val="nil"/>
            </w:tcBorders>
          </w:tcPr>
          <w:p>
            <w:pPr>
              <w:ind w:firstLine="0" w:firstLineChars="0"/>
              <w:jc w:val="center"/>
              <w:rPr>
                <w:b/>
                <w:bCs/>
                <w:color w:val="000000"/>
                <w:sz w:val="21"/>
                <w:szCs w:val="21"/>
              </w:rPr>
            </w:pPr>
            <w:r>
              <w:rPr>
                <w:rFonts w:hint="eastAsia"/>
                <w:b/>
                <w:bCs/>
                <w:color w:val="000000"/>
                <w:sz w:val="21"/>
                <w:szCs w:val="21"/>
              </w:rPr>
              <w:drawing>
                <wp:inline distT="0" distB="0" distL="114300" distR="114300">
                  <wp:extent cx="2561590" cy="1583055"/>
                  <wp:effectExtent l="0" t="0" r="13970" b="1905"/>
                  <wp:docPr id="4" name="图片 4" descr="1689006119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89006119190"/>
                          <pic:cNvPicPr>
                            <a:picLocks noChangeAspect="1"/>
                          </pic:cNvPicPr>
                        </pic:nvPicPr>
                        <pic:blipFill>
                          <a:blip r:embed="rId17"/>
                          <a:stretch>
                            <a:fillRect/>
                          </a:stretch>
                        </pic:blipFill>
                        <pic:spPr>
                          <a:xfrm>
                            <a:off x="0" y="0"/>
                            <a:ext cx="2561590" cy="1583055"/>
                          </a:xfrm>
                          <a:prstGeom prst="rect">
                            <a:avLst/>
                          </a:prstGeom>
                        </pic:spPr>
                      </pic:pic>
                    </a:graphicData>
                  </a:graphic>
                </wp:inline>
              </w:drawing>
            </w:r>
          </w:p>
        </w:tc>
        <w:tc>
          <w:tcPr>
            <w:tcW w:w="4261" w:type="dxa"/>
            <w:tcBorders>
              <w:top w:val="nil"/>
              <w:left w:val="nil"/>
              <w:bottom w:val="nil"/>
              <w:right w:val="nil"/>
            </w:tcBorders>
          </w:tcPr>
          <w:p>
            <w:pPr>
              <w:ind w:firstLine="0" w:firstLineChars="0"/>
              <w:jc w:val="center"/>
              <w:rPr>
                <w:b/>
                <w:bCs/>
                <w:color w:val="000000"/>
                <w:sz w:val="21"/>
                <w:szCs w:val="21"/>
              </w:rPr>
            </w:pPr>
            <w:r>
              <w:rPr>
                <w:rFonts w:hint="eastAsia"/>
                <w:b/>
                <w:bCs/>
                <w:color w:val="000000"/>
                <w:sz w:val="21"/>
                <w:szCs w:val="21"/>
              </w:rPr>
              <w:drawing>
                <wp:inline distT="0" distB="0" distL="114300" distR="114300">
                  <wp:extent cx="2561590" cy="1583055"/>
                  <wp:effectExtent l="0" t="0" r="13970" b="1905"/>
                  <wp:docPr id="5" name="图片 5" descr="1689006119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89006119190"/>
                          <pic:cNvPicPr>
                            <a:picLocks noChangeAspect="1"/>
                          </pic:cNvPicPr>
                        </pic:nvPicPr>
                        <pic:blipFill>
                          <a:blip r:embed="rId17"/>
                          <a:stretch>
                            <a:fillRect/>
                          </a:stretch>
                        </pic:blipFill>
                        <pic:spPr>
                          <a:xfrm>
                            <a:off x="0" y="0"/>
                            <a:ext cx="2561590" cy="158305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61" w:type="dxa"/>
            <w:tcBorders>
              <w:top w:val="nil"/>
              <w:left w:val="nil"/>
              <w:bottom w:val="nil"/>
              <w:right w:val="nil"/>
            </w:tcBorders>
          </w:tcPr>
          <w:p>
            <w:pPr>
              <w:ind w:firstLine="0" w:firstLineChars="0"/>
              <w:jc w:val="center"/>
              <w:rPr>
                <w:b/>
                <w:bCs/>
                <w:color w:val="000000"/>
                <w:sz w:val="21"/>
                <w:szCs w:val="21"/>
              </w:rPr>
            </w:pPr>
            <w:r>
              <w:rPr>
                <w:rFonts w:hint="eastAsia"/>
                <w:b/>
                <w:bCs/>
                <w:color w:val="000000"/>
                <w:sz w:val="21"/>
                <w:szCs w:val="21"/>
              </w:rPr>
              <w:t xml:space="preserve">图4 一层最小净空限界示意图 </w:t>
            </w:r>
          </w:p>
        </w:tc>
        <w:tc>
          <w:tcPr>
            <w:tcW w:w="4261" w:type="dxa"/>
            <w:tcBorders>
              <w:top w:val="nil"/>
              <w:left w:val="nil"/>
              <w:bottom w:val="nil"/>
              <w:right w:val="nil"/>
            </w:tcBorders>
          </w:tcPr>
          <w:p>
            <w:pPr>
              <w:ind w:firstLine="0" w:firstLineChars="0"/>
              <w:jc w:val="center"/>
              <w:rPr>
                <w:b/>
                <w:bCs/>
                <w:color w:val="000000"/>
                <w:sz w:val="21"/>
                <w:szCs w:val="21"/>
              </w:rPr>
            </w:pPr>
            <w:r>
              <w:rPr>
                <w:rFonts w:hint="eastAsia"/>
                <w:b/>
                <w:bCs/>
                <w:color w:val="000000"/>
                <w:sz w:val="21"/>
                <w:szCs w:val="21"/>
              </w:rPr>
              <w:t xml:space="preserve">图5 二层最小净空限界示意图 </w:t>
            </w:r>
          </w:p>
        </w:tc>
      </w:tr>
    </w:tbl>
    <w:p>
      <w:pPr>
        <w:spacing w:line="360" w:lineRule="auto"/>
        <w:ind w:firstLine="0" w:firstLineChars="0"/>
        <w:rPr>
          <w:color w:val="000000"/>
          <w:szCs w:val="24"/>
        </w:rPr>
      </w:pPr>
      <w:r>
        <w:rPr>
          <w:color w:val="000000"/>
          <w:szCs w:val="24"/>
        </w:rPr>
        <w:t xml:space="preserve">    （2）模型制作要求：</w:t>
      </w:r>
    </w:p>
    <w:p>
      <w:pPr>
        <w:numPr>
          <w:ilvl w:val="0"/>
          <w:numId w:val="2"/>
        </w:numPr>
        <w:spacing w:line="360" w:lineRule="auto"/>
        <w:ind w:firstLine="480"/>
        <w:rPr>
          <w:color w:val="000000"/>
          <w:szCs w:val="24"/>
        </w:rPr>
      </w:pPr>
      <w:r>
        <w:rPr>
          <w:color w:val="000000"/>
          <w:szCs w:val="24"/>
        </w:rPr>
        <w:t>模型结构体系及选型不限；</w:t>
      </w:r>
    </w:p>
    <w:p>
      <w:pPr>
        <w:numPr>
          <w:ilvl w:val="0"/>
          <w:numId w:val="2"/>
        </w:numPr>
        <w:spacing w:line="360" w:lineRule="auto"/>
        <w:ind w:firstLine="480"/>
        <w:rPr>
          <w:color w:val="000000"/>
          <w:szCs w:val="24"/>
        </w:rPr>
      </w:pPr>
      <w:r>
        <w:rPr>
          <w:rFonts w:hint="eastAsia" w:ascii="宋体" w:hAnsi="宋体" w:cs="宋体"/>
          <w:color w:val="000000"/>
          <w:szCs w:val="24"/>
        </w:rPr>
        <w:t>各构件之间的连接均采用指定白乳胶</w:t>
      </w:r>
      <w:r>
        <w:rPr>
          <w:rFonts w:ascii="宋体" w:hAnsi="宋体" w:cs="宋体"/>
          <w:color w:val="000000"/>
          <w:szCs w:val="24"/>
        </w:rPr>
        <w:t>；</w:t>
      </w:r>
    </w:p>
    <w:p>
      <w:pPr>
        <w:numPr>
          <w:ilvl w:val="0"/>
          <w:numId w:val="2"/>
        </w:numPr>
        <w:spacing w:line="360" w:lineRule="auto"/>
        <w:ind w:firstLine="480"/>
        <w:rPr>
          <w:color w:val="000000"/>
          <w:szCs w:val="24"/>
        </w:rPr>
      </w:pPr>
      <w:r>
        <w:rPr>
          <w:rFonts w:hint="eastAsia" w:ascii="宋体" w:hAnsi="宋体" w:cs="宋体"/>
          <w:color w:val="000000"/>
          <w:szCs w:val="24"/>
        </w:rPr>
        <w:t>模型左右最外侧</w:t>
      </w:r>
      <w:r>
        <w:rPr>
          <w:rFonts w:ascii="宋体" w:hAnsi="宋体" w:cs="宋体"/>
          <w:color w:val="000000"/>
          <w:szCs w:val="24"/>
        </w:rPr>
        <w:t>到</w:t>
      </w:r>
      <w:r>
        <w:rPr>
          <w:rFonts w:hint="eastAsia" w:ascii="宋体" w:hAnsi="宋体" w:cs="宋体"/>
          <w:color w:val="000000"/>
          <w:szCs w:val="24"/>
        </w:rPr>
        <w:t>两侧亚克力板距离</w:t>
      </w:r>
      <w:r>
        <w:rPr>
          <w:color w:val="000000"/>
          <w:szCs w:val="24"/>
        </w:rPr>
        <w:t>a</w:t>
      </w:r>
      <w:r>
        <w:rPr>
          <w:rFonts w:hint="eastAsia" w:ascii="宋体" w:hAnsi="宋体" w:cs="宋体"/>
          <w:color w:val="000000"/>
          <w:szCs w:val="24"/>
        </w:rPr>
        <w:t>不</w:t>
      </w:r>
      <w:r>
        <w:rPr>
          <w:rFonts w:ascii="宋体" w:hAnsi="宋体" w:cs="宋体"/>
          <w:color w:val="000000"/>
          <w:szCs w:val="24"/>
        </w:rPr>
        <w:t>得</w:t>
      </w:r>
      <w:r>
        <w:rPr>
          <w:rFonts w:hint="eastAsia" w:ascii="宋体" w:hAnsi="宋体" w:cs="宋体"/>
          <w:color w:val="000000"/>
          <w:szCs w:val="24"/>
        </w:rPr>
        <w:t>小于</w:t>
      </w:r>
      <w:r>
        <w:rPr>
          <w:rFonts w:hint="eastAsia"/>
          <w:color w:val="000000"/>
          <w:szCs w:val="24"/>
        </w:rPr>
        <w:t>10</w:t>
      </w:r>
      <w:r>
        <w:rPr>
          <w:color w:val="000000"/>
          <w:szCs w:val="24"/>
        </w:rPr>
        <w:t>0mm</w:t>
      </w:r>
      <w:r>
        <w:rPr>
          <w:rFonts w:hint="eastAsia" w:ascii="宋体" w:hAnsi="宋体" w:cs="宋体"/>
          <w:color w:val="000000"/>
          <w:szCs w:val="24"/>
        </w:rPr>
        <w:t>；</w:t>
      </w:r>
    </w:p>
    <w:p>
      <w:pPr>
        <w:numPr>
          <w:ilvl w:val="0"/>
          <w:numId w:val="2"/>
        </w:numPr>
        <w:spacing w:line="360" w:lineRule="auto"/>
        <w:ind w:firstLine="480"/>
        <w:rPr>
          <w:color w:val="000000"/>
          <w:szCs w:val="24"/>
        </w:rPr>
      </w:pPr>
      <w:r>
        <w:rPr>
          <w:rFonts w:hint="eastAsia" w:ascii="宋体" w:hAnsi="宋体" w:cs="宋体"/>
          <w:color w:val="000000"/>
          <w:szCs w:val="24"/>
        </w:rPr>
        <w:t>白卡纸与模型箱之间禁止采用任何形式的连接措施。</w:t>
      </w:r>
    </w:p>
    <w:p>
      <w:pPr>
        <w:spacing w:line="360" w:lineRule="auto"/>
        <w:ind w:firstLine="480"/>
        <w:rPr>
          <w:color w:val="000000"/>
          <w:szCs w:val="24"/>
        </w:rPr>
      </w:pPr>
      <w:r>
        <w:rPr>
          <w:color w:val="000000"/>
          <w:szCs w:val="24"/>
        </w:rPr>
        <w:t>（3）当模型制作完毕后，为避免填埋和加载过程中的漏砂问题，可利用</w:t>
      </w:r>
      <w:r>
        <w:rPr>
          <w:rFonts w:hint="eastAsia"/>
          <w:color w:val="000000"/>
          <w:szCs w:val="24"/>
        </w:rPr>
        <w:t>白卡纸制作封层，</w:t>
      </w:r>
      <w:r>
        <w:rPr>
          <w:color w:val="000000"/>
          <w:szCs w:val="24"/>
        </w:rPr>
        <w:t>对结构外立面进行包裹覆盖</w:t>
      </w:r>
      <w:r>
        <w:rPr>
          <w:rFonts w:hint="eastAsia"/>
          <w:color w:val="000000"/>
          <w:szCs w:val="24"/>
        </w:rPr>
        <w:t>或</w:t>
      </w:r>
      <w:r>
        <w:rPr>
          <w:color w:val="000000"/>
          <w:szCs w:val="24"/>
        </w:rPr>
        <w:t>制作防漏砂结构，同时须至少保证模型宽度方向与模型箱壁贴合的其中一侧的结构面可见（即可透过此面观察结构内部情况）。</w:t>
      </w:r>
    </w:p>
    <w:p>
      <w:pPr>
        <w:widowControl/>
        <w:ind w:firstLine="0" w:firstLineChars="0"/>
        <w:jc w:val="left"/>
      </w:pPr>
      <w:r>
        <w:rPr>
          <w:rFonts w:ascii="宋体" w:hAnsi="宋体" w:cs="宋体"/>
          <w:b/>
          <w:bCs/>
          <w:color w:val="000000"/>
          <w:kern w:val="0"/>
          <w:sz w:val="32"/>
          <w:szCs w:val="32"/>
          <w:lang w:bidi="ar"/>
        </w:rPr>
        <w:t>六</w:t>
      </w:r>
      <w:r>
        <w:rPr>
          <w:rFonts w:hint="eastAsia" w:ascii="宋体" w:hAnsi="宋体" w:cs="宋体"/>
          <w:b/>
          <w:bCs/>
          <w:color w:val="000000"/>
          <w:kern w:val="0"/>
          <w:sz w:val="32"/>
          <w:szCs w:val="32"/>
          <w:lang w:bidi="ar"/>
        </w:rPr>
        <w:t>、实施方案</w:t>
      </w:r>
    </w:p>
    <w:p>
      <w:pPr>
        <w:pStyle w:val="14"/>
        <w:spacing w:line="360" w:lineRule="auto"/>
        <w:ind w:firstLine="480" w:firstLineChars="200"/>
        <w:rPr>
          <w:rStyle w:val="18"/>
          <w:rFonts w:ascii="Times New Roman" w:hAnsi="Times New Roman" w:cs="Times New Roman"/>
          <w:kern w:val="2"/>
        </w:rPr>
      </w:pPr>
      <w:r>
        <w:rPr>
          <w:rFonts w:ascii="Times New Roman" w:hAnsi="Times New Roman" w:cs="Times New Roman"/>
          <w:kern w:val="2"/>
        </w:rPr>
        <w:t>本次比赛分初赛和决赛两个阶段。初赛由各高校自行组织，并确定参加决赛的学生代表队。决赛由本次大赛承办方统一组织实施，包括设计计算说明书提交和现场比赛两个环节，设计计算书按要求完成后在规定的时间内提交给承办方，现场比赛包括双</w:t>
      </w:r>
      <w:r>
        <w:rPr>
          <w:rFonts w:hint="eastAsia" w:ascii="Times New Roman" w:hAnsi="Times New Roman" w:cs="Times New Roman"/>
          <w:kern w:val="2"/>
        </w:rPr>
        <w:t>层地下空间</w:t>
      </w:r>
      <w:r>
        <w:rPr>
          <w:rFonts w:ascii="Times New Roman" w:hAnsi="Times New Roman" w:cs="Times New Roman"/>
          <w:kern w:val="2"/>
        </w:rPr>
        <w:t>结构模型制作、模</w:t>
      </w:r>
      <w:r>
        <w:rPr>
          <w:rStyle w:val="18"/>
          <w:rFonts w:ascii="Times New Roman" w:hAnsi="Times New Roman" w:cs="Times New Roman"/>
          <w:kern w:val="2"/>
        </w:rPr>
        <w:t>型安装和现场加载三个阶段。</w:t>
      </w:r>
    </w:p>
    <w:p>
      <w:pPr>
        <w:pStyle w:val="14"/>
        <w:spacing w:line="360" w:lineRule="auto"/>
        <w:ind w:firstLine="241" w:firstLineChars="100"/>
        <w:rPr>
          <w:rStyle w:val="18"/>
          <w:rFonts w:ascii="Times New Roman" w:hAnsi="Times New Roman" w:cs="Times New Roman"/>
          <w:b/>
          <w:bCs/>
          <w:kern w:val="2"/>
        </w:rPr>
      </w:pPr>
      <w:r>
        <w:rPr>
          <w:rStyle w:val="18"/>
          <w:rFonts w:ascii="Times New Roman" w:hAnsi="Times New Roman" w:cs="Times New Roman"/>
          <w:b/>
          <w:bCs/>
          <w:kern w:val="2"/>
        </w:rPr>
        <w:t>1．模型设计计算说明书</w:t>
      </w:r>
    </w:p>
    <w:p>
      <w:pPr>
        <w:pStyle w:val="14"/>
        <w:spacing w:line="360" w:lineRule="auto"/>
        <w:ind w:firstLine="480" w:firstLineChars="200"/>
        <w:rPr>
          <w:rStyle w:val="18"/>
          <w:rFonts w:ascii="Times New Roman" w:hAnsi="Times New Roman" w:cs="Times New Roman"/>
          <w:kern w:val="2"/>
        </w:rPr>
      </w:pPr>
      <w:r>
        <w:rPr>
          <w:rStyle w:val="18"/>
          <w:rFonts w:ascii="Times New Roman" w:hAnsi="Times New Roman" w:cs="Times New Roman"/>
          <w:kern w:val="2"/>
        </w:rPr>
        <w:t>各</w:t>
      </w:r>
      <w:r>
        <w:rPr>
          <w:rStyle w:val="18"/>
          <w:rFonts w:hint="eastAsia" w:ascii="Times New Roman" w:hAnsi="Times New Roman" w:cs="Times New Roman"/>
          <w:kern w:val="2"/>
        </w:rPr>
        <w:t>决</w:t>
      </w:r>
      <w:r>
        <w:rPr>
          <w:rStyle w:val="18"/>
          <w:rFonts w:ascii="Times New Roman" w:hAnsi="Times New Roman" w:cs="Times New Roman"/>
          <w:kern w:val="2"/>
        </w:rPr>
        <w:t>赛参赛代表队应在现场报到时向承办方提交纸质版设计计算说明书：完整版（一式一份），其主要内容及要求如下：</w:t>
      </w:r>
    </w:p>
    <w:p>
      <w:pPr>
        <w:pStyle w:val="14"/>
        <w:spacing w:line="360" w:lineRule="auto"/>
        <w:rPr>
          <w:rStyle w:val="18"/>
          <w:rFonts w:ascii="Times New Roman" w:hAnsi="Times New Roman" w:cs="Times New Roman"/>
          <w:color w:val="auto"/>
          <w:kern w:val="2"/>
        </w:rPr>
      </w:pPr>
      <w:r>
        <w:rPr>
          <w:rStyle w:val="18"/>
          <w:rFonts w:ascii="Times New Roman" w:hAnsi="Times New Roman" w:cs="Times New Roman"/>
          <w:color w:val="auto"/>
          <w:kern w:val="2"/>
        </w:rPr>
        <w:t>（1）完整版封面统一格式见附件4</w:t>
      </w:r>
      <w:r>
        <w:rPr>
          <w:rStyle w:val="18"/>
          <w:rFonts w:hint="eastAsia" w:ascii="Times New Roman" w:hAnsi="Times New Roman" w:cs="Times New Roman"/>
          <w:color w:val="auto"/>
          <w:kern w:val="2"/>
        </w:rPr>
        <w:t>；</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（2）设计中所使用的材料参数，包括获得参数的方法（实验室测试、统计分析或假设等）；</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（3）模型设计方法与步骤；</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（4）模型设计方案的比选；</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（5）模型设计图纸；</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（6）模型建造步骤；</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（7）风险与对策</w:t>
      </w:r>
      <w:r>
        <w:rPr>
          <w:rStyle w:val="18"/>
          <w:rFonts w:hint="eastAsia" w:ascii="Times New Roman" w:hAnsi="Times New Roman" w:cs="Times New Roman"/>
          <w:kern w:val="2"/>
        </w:rPr>
        <w:t>：</w:t>
      </w:r>
      <w:r>
        <w:rPr>
          <w:rStyle w:val="18"/>
          <w:rFonts w:ascii="Times New Roman" w:hAnsi="Times New Roman" w:cs="Times New Roman"/>
          <w:kern w:val="2"/>
        </w:rPr>
        <w:t>针对比赛中每个环节中可能遇到的潜在风险，提出相应措施</w:t>
      </w:r>
      <w:r>
        <w:rPr>
          <w:rStyle w:val="18"/>
          <w:rFonts w:hint="eastAsia" w:ascii="Times New Roman" w:hAnsi="Times New Roman" w:cs="Times New Roman"/>
          <w:kern w:val="2"/>
        </w:rPr>
        <w:t>；</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（8）所有参赛人员的照片与学生证扫描件，以附录的形式放在完整版计算说明书后</w:t>
      </w:r>
      <w:r>
        <w:rPr>
          <w:rStyle w:val="18"/>
          <w:rFonts w:hint="eastAsia" w:ascii="Times New Roman" w:hAnsi="Times New Roman" w:cs="Times New Roman"/>
          <w:kern w:val="2"/>
        </w:rPr>
        <w:t>；</w:t>
      </w:r>
    </w:p>
    <w:p>
      <w:pPr>
        <w:pStyle w:val="14"/>
        <w:spacing w:line="360" w:lineRule="auto"/>
        <w:rPr>
          <w:rStyle w:val="18"/>
          <w:rFonts w:ascii="Times New Roman" w:hAnsi="Times New Roman" w:cs="Times New Roman"/>
          <w:kern w:val="2"/>
        </w:rPr>
      </w:pPr>
      <w:r>
        <w:rPr>
          <w:rStyle w:val="18"/>
          <w:rFonts w:ascii="Times New Roman" w:hAnsi="Times New Roman" w:cs="Times New Roman"/>
          <w:kern w:val="2"/>
        </w:rPr>
        <w:t>（9）计算说明书的格式要求：</w:t>
      </w:r>
    </w:p>
    <w:p>
      <w:pPr>
        <w:pStyle w:val="14"/>
        <w:spacing w:line="360" w:lineRule="auto"/>
        <w:ind w:firstLine="240" w:firstLineChars="100"/>
        <w:rPr>
          <w:rStyle w:val="18"/>
          <w:rFonts w:ascii="Times New Roman" w:hAnsi="Times New Roman" w:cs="Times New Roman"/>
          <w:kern w:val="2"/>
        </w:rPr>
      </w:pPr>
      <w:r>
        <w:rPr>
          <w:rStyle w:val="18"/>
          <w:rFonts w:ascii="Times New Roman" w:hAnsi="Times New Roman" w:cs="Times New Roman"/>
          <w:kern w:val="2"/>
        </w:rPr>
        <w:t>① 篇幅应控制在 20 页以内（不包括封面页、目录页、附录和参考文献），双面打印；</w:t>
      </w:r>
    </w:p>
    <w:p>
      <w:pPr>
        <w:pStyle w:val="14"/>
        <w:spacing w:line="360" w:lineRule="auto"/>
        <w:ind w:firstLine="240" w:firstLineChars="100"/>
        <w:rPr>
          <w:rStyle w:val="18"/>
          <w:rFonts w:ascii="Times New Roman" w:hAnsi="Times New Roman" w:cs="Times New Roman"/>
          <w:kern w:val="2"/>
        </w:rPr>
      </w:pPr>
      <w:r>
        <w:rPr>
          <w:rStyle w:val="18"/>
          <w:rFonts w:ascii="Times New Roman" w:hAnsi="Times New Roman" w:cs="Times New Roman"/>
          <w:kern w:val="2"/>
        </w:rPr>
        <w:t>② 行距 20 磅、宋体小四号字；</w:t>
      </w:r>
    </w:p>
    <w:p>
      <w:pPr>
        <w:pStyle w:val="14"/>
        <w:spacing w:line="360" w:lineRule="auto"/>
        <w:ind w:firstLine="240" w:firstLineChars="100"/>
        <w:rPr>
          <w:rStyle w:val="18"/>
          <w:rFonts w:ascii="Times New Roman" w:hAnsi="Times New Roman" w:cs="Times New Roman"/>
          <w:kern w:val="2"/>
        </w:rPr>
      </w:pPr>
      <w:r>
        <w:rPr>
          <w:rStyle w:val="18"/>
          <w:rFonts w:ascii="Times New Roman" w:hAnsi="Times New Roman" w:cs="Times New Roman"/>
          <w:kern w:val="2"/>
        </w:rPr>
        <w:t>③ 封面后的所有页面的页眉统一为</w:t>
      </w:r>
      <w:r>
        <w:rPr>
          <w:rStyle w:val="18"/>
          <w:rFonts w:hint="eastAsia" w:ascii="Times New Roman" w:hAnsi="Times New Roman" w:cs="Times New Roman"/>
          <w:kern w:val="2"/>
        </w:rPr>
        <w:t>“</w:t>
      </w:r>
      <w:r>
        <w:rPr>
          <w:rStyle w:val="18"/>
          <w:rFonts w:ascii="Times New Roman" w:hAnsi="Times New Roman" w:cs="Times New Roman"/>
          <w:kern w:val="2"/>
        </w:rPr>
        <w:t>第</w:t>
      </w:r>
      <w:r>
        <w:rPr>
          <w:rStyle w:val="18"/>
          <w:rFonts w:hint="eastAsia" w:ascii="Times New Roman" w:hAnsi="Times New Roman" w:cs="Times New Roman"/>
          <w:kern w:val="2"/>
        </w:rPr>
        <w:t>七</w:t>
      </w:r>
      <w:r>
        <w:rPr>
          <w:rStyle w:val="18"/>
          <w:rFonts w:ascii="Times New Roman" w:hAnsi="Times New Roman" w:cs="Times New Roman"/>
          <w:kern w:val="2"/>
        </w:rPr>
        <w:t>届全国城市地下空间工程专业大学生模型设计说明书</w:t>
      </w:r>
      <w:r>
        <w:rPr>
          <w:rStyle w:val="18"/>
          <w:rFonts w:hint="eastAsia" w:ascii="Times New Roman" w:hAnsi="Times New Roman" w:cs="Times New Roman"/>
          <w:kern w:val="2"/>
        </w:rPr>
        <w:t>”</w:t>
      </w:r>
      <w:r>
        <w:rPr>
          <w:rStyle w:val="18"/>
          <w:rFonts w:ascii="Times New Roman" w:hAnsi="Times New Roman" w:cs="Times New Roman"/>
          <w:kern w:val="2"/>
        </w:rPr>
        <w:t>，字体为小五号；页脚居中设置页码，页码从正文首页开始为第 1 页，以阿拉伯数字顺序设置。</w:t>
      </w:r>
    </w:p>
    <w:p>
      <w:pPr>
        <w:spacing w:line="360" w:lineRule="auto"/>
        <w:ind w:firstLine="241" w:firstLineChars="100"/>
        <w:rPr>
          <w:rStyle w:val="18"/>
          <w:rFonts w:ascii="Times New Roman" w:hAnsi="Times New Roman" w:cs="Times New Roman"/>
          <w:b/>
          <w:bCs/>
        </w:rPr>
      </w:pPr>
      <w:r>
        <w:rPr>
          <w:rStyle w:val="18"/>
          <w:rFonts w:hint="eastAsia" w:ascii="Times New Roman" w:hAnsi="Times New Roman" w:cs="Times New Roman"/>
          <w:b/>
          <w:bCs/>
        </w:rPr>
        <w:t>2</w:t>
      </w:r>
      <w:r>
        <w:rPr>
          <w:rStyle w:val="18"/>
          <w:rFonts w:ascii="Times New Roman" w:hAnsi="Times New Roman" w:cs="Times New Roman"/>
          <w:b/>
          <w:bCs/>
        </w:rPr>
        <w:t>．</w:t>
      </w:r>
      <w:r>
        <w:rPr>
          <w:rStyle w:val="18"/>
          <w:rFonts w:hint="eastAsia" w:ascii="Times New Roman" w:hAnsi="Times New Roman" w:cs="Times New Roman"/>
          <w:b/>
          <w:bCs/>
        </w:rPr>
        <w:t>现场比赛</w:t>
      </w:r>
    </w:p>
    <w:p>
      <w:pPr>
        <w:spacing w:line="360" w:lineRule="auto"/>
        <w:ind w:firstLine="480"/>
        <w:rPr>
          <w:rStyle w:val="18"/>
          <w:rFonts w:cs="Times New Roman"/>
        </w:rPr>
      </w:pPr>
      <w:r>
        <w:rPr>
          <w:rStyle w:val="18"/>
          <w:rFonts w:ascii="Times New Roman" w:hAnsi="Times New Roman" w:cs="Times New Roman"/>
        </w:rPr>
        <w:t>现场比赛时，为了协助评审专家组完成模型尺寸的校核，每个工作台配备一个工作人员，模型制作过程中，禁止工作人员在比赛场地随意走动，只有当参赛代表队举手示意制作完成后，相对应的工作人员方可进入模型制作场地，但是在进入场地过程中，不得妨碍其他代表队的制作</w:t>
      </w:r>
      <w:r>
        <w:rPr>
          <w:rStyle w:val="18"/>
          <w:rFonts w:hint="eastAsia" w:cs="Times New Roman"/>
        </w:rPr>
        <w:t>。</w:t>
      </w:r>
    </w:p>
    <w:p>
      <w:pPr>
        <w:spacing w:line="360" w:lineRule="auto"/>
        <w:ind w:firstLine="480"/>
        <w:rPr>
          <w:color w:val="000000"/>
          <w:szCs w:val="24"/>
        </w:rPr>
      </w:pPr>
      <w:r>
        <w:rPr>
          <w:color w:val="000000"/>
          <w:szCs w:val="24"/>
        </w:rPr>
        <w:t>（1）</w:t>
      </w:r>
      <w:r>
        <w:rPr>
          <w:rFonts w:hint="eastAsia"/>
          <w:color w:val="000000"/>
          <w:szCs w:val="24"/>
        </w:rPr>
        <w:t>双层地下空间结构模型制作</w:t>
      </w:r>
    </w:p>
    <w:p>
      <w:pPr>
        <w:spacing w:line="360" w:lineRule="auto"/>
        <w:ind w:firstLine="480"/>
        <w:rPr>
          <w:color w:val="000000"/>
          <w:szCs w:val="24"/>
        </w:rPr>
      </w:pPr>
      <w:r>
        <w:rPr>
          <w:color w:val="000000"/>
          <w:szCs w:val="24"/>
        </w:rPr>
        <w:t>参赛者须在240分钟内使用由承办方提供的材料（模型制作工具自备）</w:t>
      </w:r>
      <w:r>
        <w:rPr>
          <w:rFonts w:hint="eastAsia"/>
          <w:color w:val="000000"/>
          <w:szCs w:val="24"/>
        </w:rPr>
        <w:t>完成</w:t>
      </w:r>
      <w:r>
        <w:rPr>
          <w:color w:val="000000"/>
          <w:szCs w:val="24"/>
        </w:rPr>
        <w:t>模型制作（包含模型结构、封层及防漏沙结构），</w:t>
      </w:r>
      <w:r>
        <w:rPr>
          <w:rFonts w:hint="eastAsia"/>
          <w:color w:val="000000"/>
          <w:szCs w:val="24"/>
        </w:rPr>
        <w:t>模型制作耗时得分详</w:t>
      </w:r>
      <w:r>
        <w:rPr>
          <w:color w:val="000000"/>
          <w:szCs w:val="24"/>
        </w:rPr>
        <w:t>见评分标准，超过270分钟将被取消参赛资格。</w:t>
      </w:r>
      <w:r>
        <w:rPr>
          <w:rFonts w:hint="eastAsia"/>
          <w:color w:val="000000"/>
          <w:szCs w:val="24"/>
        </w:rPr>
        <w:t>制作完工后，参赛代表队队员举手示意工作人员记录制作时间，参赛代表队队长确认时间后签字，清除多余材料。模型制作完成后，作品放置在制作平台板上，按抽签顺序等待模型加载。</w:t>
      </w:r>
    </w:p>
    <w:p>
      <w:pPr>
        <w:spacing w:line="360" w:lineRule="auto"/>
        <w:ind w:firstLine="480"/>
        <w:rPr>
          <w:color w:val="000000"/>
          <w:szCs w:val="24"/>
        </w:rPr>
      </w:pPr>
      <w:r>
        <w:rPr>
          <w:color w:val="000000"/>
          <w:szCs w:val="24"/>
        </w:rPr>
        <w:t>（2）模型检验与称重</w:t>
      </w:r>
    </w:p>
    <w:p>
      <w:pPr>
        <w:spacing w:line="360" w:lineRule="auto"/>
        <w:ind w:firstLine="480"/>
        <w:rPr>
          <w:color w:val="000000"/>
          <w:szCs w:val="24"/>
        </w:rPr>
      </w:pPr>
      <w:r>
        <w:rPr>
          <w:color w:val="000000"/>
          <w:szCs w:val="24"/>
        </w:rPr>
        <w:t>由评审专家组对制作完成后的整体模型进行净空</w:t>
      </w:r>
      <w:r>
        <w:rPr>
          <w:rFonts w:hint="eastAsia"/>
          <w:color w:val="000000"/>
          <w:szCs w:val="24"/>
        </w:rPr>
        <w:t>、</w:t>
      </w:r>
      <w:r>
        <w:rPr>
          <w:color w:val="000000"/>
          <w:szCs w:val="24"/>
        </w:rPr>
        <w:t>限界等的检查，满足相关要求方可进入下一阶段。经评审组检查不合格的模型需改正或重做，重做时间也被计入模型制作耗时。尺寸校核及外观检查完成后，对符合比赛资格的整体模型进行称重</w:t>
      </w:r>
      <w:r>
        <w:rPr>
          <w:rFonts w:hint="eastAsia"/>
          <w:color w:val="000000"/>
          <w:szCs w:val="24"/>
        </w:rPr>
        <w:t>（包括模型、封层及防漏砂的辅助结构）</w:t>
      </w:r>
      <w:r>
        <w:rPr>
          <w:color w:val="000000"/>
          <w:szCs w:val="24"/>
        </w:rPr>
        <w:t>，所得质量即为模型材料用量</w:t>
      </w:r>
      <w:r>
        <w:rPr>
          <w:rFonts w:hint="eastAsia"/>
          <w:color w:val="000000"/>
          <w:szCs w:val="24"/>
        </w:rPr>
        <w:t>，由参赛代表队队长确认后签字</w:t>
      </w:r>
      <w:r>
        <w:rPr>
          <w:color w:val="000000"/>
          <w:szCs w:val="24"/>
        </w:rPr>
        <w:t>。</w:t>
      </w:r>
    </w:p>
    <w:p>
      <w:pPr>
        <w:spacing w:line="360" w:lineRule="auto"/>
        <w:ind w:firstLine="480"/>
        <w:rPr>
          <w:rStyle w:val="18"/>
          <w:rFonts w:cs="Times New Roman"/>
        </w:rPr>
      </w:pPr>
      <w:r>
        <w:rPr>
          <w:color w:val="000000"/>
          <w:szCs w:val="24"/>
        </w:rPr>
        <w:t>评审专家组进行模型尺寸校核、外观检查及模型称重过程中，仲裁委员会负责现场监督，并在原始单据上签字确认。</w:t>
      </w:r>
    </w:p>
    <w:p>
      <w:pPr>
        <w:spacing w:line="360" w:lineRule="auto"/>
        <w:ind w:firstLine="480"/>
        <w:rPr>
          <w:color w:val="000000"/>
          <w:szCs w:val="24"/>
        </w:rPr>
      </w:pPr>
      <w:r>
        <w:rPr>
          <w:color w:val="000000"/>
          <w:szCs w:val="24"/>
        </w:rPr>
        <w:t>（3</w:t>
      </w:r>
      <w:r>
        <w:rPr>
          <w:rFonts w:hint="eastAsia" w:ascii="宋体" w:hAnsi="宋体" w:cs="宋体"/>
          <w:color w:val="000000"/>
          <w:szCs w:val="24"/>
        </w:rPr>
        <w:t>）模型安装</w:t>
      </w:r>
    </w:p>
    <w:p>
      <w:pPr>
        <w:spacing w:line="360" w:lineRule="auto"/>
        <w:ind w:firstLine="480"/>
        <w:rPr>
          <w:color w:val="000000"/>
          <w:szCs w:val="24"/>
        </w:rPr>
      </w:pPr>
      <w:r>
        <w:rPr>
          <w:color w:val="000000"/>
          <w:szCs w:val="24"/>
        </w:rPr>
        <w:t>各参赛代表队按比赛前抽取的出场顺序，在模型箱中安装结构模型</w:t>
      </w:r>
      <w:r>
        <w:rPr>
          <w:rFonts w:hint="eastAsia"/>
          <w:color w:val="000000"/>
          <w:szCs w:val="24"/>
        </w:rPr>
        <w:t>、</w:t>
      </w:r>
      <w:r>
        <w:rPr>
          <w:color w:val="000000"/>
          <w:szCs w:val="24"/>
        </w:rPr>
        <w:t>填砂及安装百分表，</w:t>
      </w:r>
      <w:r>
        <w:rPr>
          <w:rFonts w:hint="eastAsia"/>
          <w:color w:val="000000"/>
          <w:szCs w:val="24"/>
        </w:rPr>
        <w:t>整个加载前</w:t>
      </w:r>
      <w:r>
        <w:rPr>
          <w:color w:val="000000"/>
          <w:szCs w:val="24"/>
        </w:rPr>
        <w:t>的</w:t>
      </w:r>
      <w:r>
        <w:rPr>
          <w:rFonts w:hint="eastAsia"/>
          <w:color w:val="000000"/>
          <w:szCs w:val="24"/>
        </w:rPr>
        <w:t>准备流程</w:t>
      </w:r>
      <w:r>
        <w:rPr>
          <w:color w:val="000000"/>
          <w:szCs w:val="24"/>
        </w:rPr>
        <w:t>时间</w:t>
      </w:r>
      <w:r>
        <w:rPr>
          <w:rFonts w:hint="eastAsia"/>
          <w:color w:val="000000"/>
          <w:szCs w:val="24"/>
        </w:rPr>
        <w:t>不得超过</w:t>
      </w:r>
      <w:r>
        <w:rPr>
          <w:color w:val="000000"/>
          <w:szCs w:val="24"/>
        </w:rPr>
        <w:t>5</w:t>
      </w:r>
      <w:r>
        <w:rPr>
          <w:rFonts w:hint="eastAsia"/>
          <w:color w:val="000000"/>
          <w:szCs w:val="24"/>
        </w:rPr>
        <w:t>0分钟，</w:t>
      </w:r>
      <w:r>
        <w:rPr>
          <w:color w:val="000000"/>
          <w:szCs w:val="24"/>
        </w:rPr>
        <w:t>超过5</w:t>
      </w:r>
      <w:r>
        <w:rPr>
          <w:rFonts w:hint="eastAsia"/>
          <w:color w:val="000000"/>
          <w:szCs w:val="24"/>
        </w:rPr>
        <w:t>0</w:t>
      </w:r>
      <w:r>
        <w:rPr>
          <w:color w:val="000000"/>
          <w:szCs w:val="24"/>
        </w:rPr>
        <w:t>分钟将被取消参赛资格。安装过程如下：</w:t>
      </w:r>
    </w:p>
    <w:p>
      <w:pPr>
        <w:numPr>
          <w:ilvl w:val="0"/>
          <w:numId w:val="3"/>
        </w:numPr>
        <w:spacing w:line="360" w:lineRule="auto"/>
        <w:ind w:firstLine="480"/>
        <w:rPr>
          <w:color w:val="000000"/>
          <w:szCs w:val="24"/>
        </w:rPr>
      </w:pPr>
      <w:r>
        <w:rPr>
          <w:color w:val="000000"/>
          <w:szCs w:val="24"/>
        </w:rPr>
        <w:t>将整体模型放入模型箱中，整体模型的中轴线应与模型箱中轴线重合，经评审专家复核后安装白卡纸封层</w:t>
      </w:r>
      <w:r>
        <w:rPr>
          <w:rFonts w:hint="eastAsia"/>
          <w:color w:val="000000"/>
          <w:szCs w:val="24"/>
        </w:rPr>
        <w:t>。各小组可根据制作需要对白卡纸进行拼接（封层白卡纸不可粘接），且需</w:t>
      </w:r>
      <w:r>
        <w:rPr>
          <w:color w:val="000000"/>
          <w:szCs w:val="24"/>
        </w:rPr>
        <w:t>注意整体模型的任何位置均不可与模型箱侧壁或底板进行任何形式的粘接；</w:t>
      </w:r>
    </w:p>
    <w:p>
      <w:pPr>
        <w:numPr>
          <w:ilvl w:val="0"/>
          <w:numId w:val="3"/>
        </w:numPr>
        <w:spacing w:line="360" w:lineRule="auto"/>
        <w:ind w:firstLine="480"/>
        <w:rPr>
          <w:color w:val="000000"/>
          <w:szCs w:val="24"/>
        </w:rPr>
      </w:pPr>
      <w:r>
        <w:rPr>
          <w:color w:val="000000"/>
          <w:szCs w:val="24"/>
        </w:rPr>
        <w:t>模型放置完毕后开始回填砂土，回填砂土的表面距离模型顶部为150mm，利用工具对砂土进行整平，回填砂土表面须保持水平且无明显漏砂点（若需对填充标准砂压实，可进行压实）。模型宽度方向上结构面可见的一侧应与模型箱壁密贴，且原则上可见结构面与模型箱壁面之间不允许有漏砂；</w:t>
      </w:r>
    </w:p>
    <w:p>
      <w:pPr>
        <w:numPr>
          <w:ilvl w:val="0"/>
          <w:numId w:val="3"/>
        </w:numPr>
        <w:spacing w:line="360" w:lineRule="auto"/>
        <w:ind w:firstLine="480"/>
        <w:rPr>
          <w:color w:val="000000"/>
          <w:szCs w:val="24"/>
        </w:rPr>
      </w:pPr>
      <w:r>
        <w:rPr>
          <w:color w:val="000000"/>
          <w:szCs w:val="24"/>
        </w:rPr>
        <w:t>经检查合格后，在砂土表面放置加载板，并在加载板的对角线位置安放百分表，具体位置要求如图1</w:t>
      </w:r>
      <w:r>
        <w:rPr>
          <w:rFonts w:hint="eastAsia"/>
          <w:color w:val="000000"/>
          <w:szCs w:val="24"/>
        </w:rPr>
        <w:t>(b)</w:t>
      </w:r>
      <w:r>
        <w:rPr>
          <w:color w:val="000000"/>
          <w:szCs w:val="24"/>
        </w:rPr>
        <w:t>所示；若检查不合格，需重新填砂，重新填砂时间也被计入加载</w:t>
      </w:r>
      <w:r>
        <w:rPr>
          <w:rFonts w:hint="eastAsia"/>
          <w:color w:val="000000"/>
          <w:szCs w:val="24"/>
        </w:rPr>
        <w:t>前</w:t>
      </w:r>
      <w:r>
        <w:rPr>
          <w:color w:val="000000"/>
          <w:szCs w:val="24"/>
        </w:rPr>
        <w:t>的准备耗时。砂土填埋完成后长度方向的剖面如图1</w:t>
      </w:r>
      <w:r>
        <w:rPr>
          <w:rFonts w:hint="eastAsia"/>
          <w:color w:val="000000"/>
          <w:szCs w:val="24"/>
        </w:rPr>
        <w:t>(</w:t>
      </w:r>
      <w:r>
        <w:rPr>
          <w:color w:val="000000"/>
          <w:szCs w:val="24"/>
        </w:rPr>
        <w:t>a</w:t>
      </w:r>
      <w:r>
        <w:rPr>
          <w:rFonts w:hint="eastAsia"/>
          <w:color w:val="000000"/>
          <w:szCs w:val="24"/>
        </w:rPr>
        <w:t>)</w:t>
      </w:r>
      <w:r>
        <w:rPr>
          <w:color w:val="000000"/>
          <w:szCs w:val="24"/>
        </w:rPr>
        <w:t>所示；</w:t>
      </w:r>
    </w:p>
    <w:p>
      <w:pPr>
        <w:numPr>
          <w:ilvl w:val="0"/>
          <w:numId w:val="3"/>
        </w:numPr>
        <w:spacing w:line="360" w:lineRule="auto"/>
        <w:ind w:firstLine="480"/>
        <w:rPr>
          <w:color w:val="000000"/>
          <w:szCs w:val="24"/>
        </w:rPr>
      </w:pPr>
      <w:r>
        <w:rPr>
          <w:color w:val="000000"/>
          <w:szCs w:val="24"/>
        </w:rPr>
        <w:t>该阶段工作结束后，评审专家组进行检查和净空检验，合格后方可进行加载。若检验不合格，且经过改正仍不符合要求，将取消比赛资格。</w:t>
      </w:r>
    </w:p>
    <w:p>
      <w:pPr>
        <w:numPr>
          <w:ilvl w:val="0"/>
          <w:numId w:val="4"/>
        </w:numPr>
        <w:spacing w:line="360" w:lineRule="auto"/>
        <w:ind w:firstLine="480"/>
        <w:rPr>
          <w:rFonts w:ascii="宋体" w:hAnsi="宋体" w:cs="宋体"/>
          <w:color w:val="000000"/>
          <w:szCs w:val="24"/>
        </w:rPr>
      </w:pPr>
      <w:r>
        <w:rPr>
          <w:rFonts w:ascii="宋体" w:hAnsi="宋体" w:cs="宋体"/>
          <w:color w:val="000000"/>
          <w:szCs w:val="24"/>
        </w:rPr>
        <w:t>现场加载</w:t>
      </w:r>
    </w:p>
    <w:p>
      <w:pPr>
        <w:spacing w:line="360" w:lineRule="auto"/>
        <w:ind w:firstLine="0" w:firstLineChars="0"/>
        <w:rPr>
          <w:rFonts w:ascii="宋体" w:hAnsi="宋体" w:cs="宋体"/>
          <w:color w:val="000000"/>
          <w:szCs w:val="24"/>
        </w:rPr>
      </w:pPr>
      <w:r>
        <w:rPr>
          <w:rFonts w:ascii="宋体" w:hAnsi="宋体" w:cs="宋体"/>
          <w:color w:val="000000"/>
          <w:szCs w:val="24"/>
        </w:rPr>
        <w:t xml:space="preserve">    </w:t>
      </w:r>
      <w:r>
        <w:rPr>
          <w:rFonts w:hint="eastAsia" w:ascii="宋体" w:hAnsi="宋体" w:cs="宋体"/>
          <w:color w:val="000000"/>
          <w:szCs w:val="24"/>
        </w:rPr>
        <w:t>该环节所需的场地、模型加载装置、</w:t>
      </w:r>
      <w:r>
        <w:rPr>
          <w:rFonts w:ascii="宋体" w:hAnsi="宋体" w:cs="宋体"/>
          <w:color w:val="000000"/>
          <w:szCs w:val="24"/>
        </w:rPr>
        <w:t>数显百分表</w:t>
      </w:r>
      <w:r>
        <w:rPr>
          <w:rFonts w:hint="eastAsia" w:ascii="宋体" w:hAnsi="宋体" w:cs="宋体"/>
          <w:color w:val="000000"/>
          <w:szCs w:val="24"/>
        </w:rPr>
        <w:t>等由承办方提供。</w:t>
      </w:r>
    </w:p>
    <w:p>
      <w:pPr>
        <w:numPr>
          <w:ilvl w:val="0"/>
          <w:numId w:val="5"/>
        </w:numPr>
        <w:spacing w:line="360" w:lineRule="auto"/>
        <w:ind w:firstLine="480"/>
        <w:rPr>
          <w:color w:val="000000"/>
          <w:szCs w:val="24"/>
        </w:rPr>
      </w:pPr>
      <w:r>
        <w:rPr>
          <w:color w:val="000000"/>
          <w:szCs w:val="24"/>
        </w:rPr>
        <w:t>当砂土填埋完毕且检查合格后安放加载板和百分表，</w:t>
      </w:r>
      <w:r>
        <w:rPr>
          <w:rFonts w:hint="eastAsia"/>
          <w:color w:val="000000"/>
          <w:szCs w:val="24"/>
        </w:rPr>
        <w:t>静置1min，对百分表进行清零</w:t>
      </w:r>
      <w:r>
        <w:rPr>
          <w:color w:val="000000"/>
          <w:szCs w:val="24"/>
        </w:rPr>
        <w:t>；</w:t>
      </w:r>
    </w:p>
    <w:p>
      <w:pPr>
        <w:numPr>
          <w:ilvl w:val="0"/>
          <w:numId w:val="5"/>
        </w:numPr>
        <w:spacing w:line="360" w:lineRule="auto"/>
        <w:ind w:firstLine="480"/>
        <w:rPr>
          <w:color w:val="000000"/>
          <w:szCs w:val="24"/>
        </w:rPr>
      </w:pPr>
      <w:r>
        <w:rPr>
          <w:color w:val="000000"/>
          <w:szCs w:val="24"/>
        </w:rPr>
        <w:t>在加载板上利用砝码进行逐级加载，</w:t>
      </w:r>
      <w:r>
        <w:rPr>
          <w:rFonts w:hint="eastAsia"/>
          <w:color w:val="000000"/>
          <w:szCs w:val="24"/>
        </w:rPr>
        <w:t>总共进行三级加载，累计</w:t>
      </w:r>
      <w:r>
        <w:rPr>
          <w:color w:val="000000"/>
          <w:szCs w:val="24"/>
        </w:rPr>
        <w:t>最大加载质量</w:t>
      </w:r>
      <w:r>
        <w:rPr>
          <w:rFonts w:hint="eastAsia"/>
          <w:color w:val="000000"/>
          <w:szCs w:val="24"/>
        </w:rPr>
        <w:t>（不含加载板质量）</w:t>
      </w:r>
      <w:r>
        <w:rPr>
          <w:color w:val="000000"/>
          <w:szCs w:val="24"/>
        </w:rPr>
        <w:t>为</w:t>
      </w:r>
      <w:r>
        <w:rPr>
          <w:rFonts w:hint="eastAsia"/>
          <w:color w:val="000000"/>
          <w:szCs w:val="24"/>
        </w:rPr>
        <w:t>1</w:t>
      </w:r>
      <w:r>
        <w:rPr>
          <w:color w:val="000000"/>
          <w:szCs w:val="24"/>
        </w:rPr>
        <w:t>00kg</w:t>
      </w:r>
      <w:r>
        <w:rPr>
          <w:rFonts w:hint="eastAsia"/>
          <w:color w:val="000000"/>
          <w:szCs w:val="24"/>
        </w:rPr>
        <w:t>。</w:t>
      </w:r>
      <w:r>
        <w:rPr>
          <w:color w:val="000000"/>
          <w:szCs w:val="24"/>
        </w:rPr>
        <w:t>加载前各参赛代表队自行确定</w:t>
      </w:r>
      <w:r>
        <w:rPr>
          <w:rFonts w:hint="eastAsia"/>
          <w:color w:val="000000"/>
          <w:szCs w:val="24"/>
        </w:rPr>
        <w:t>各</w:t>
      </w:r>
      <w:r>
        <w:rPr>
          <w:color w:val="000000"/>
          <w:szCs w:val="24"/>
        </w:rPr>
        <w:t>级加载</w:t>
      </w:r>
      <w:r>
        <w:rPr>
          <w:rFonts w:hint="eastAsia"/>
          <w:color w:val="000000"/>
          <w:szCs w:val="24"/>
        </w:rPr>
        <w:t>的</w:t>
      </w:r>
      <w:r>
        <w:rPr>
          <w:color w:val="000000"/>
          <w:szCs w:val="24"/>
        </w:rPr>
        <w:t>砝码质量，并由代表队队长报出。一旦报出</w:t>
      </w:r>
      <w:r>
        <w:rPr>
          <w:rFonts w:hint="eastAsia"/>
          <w:color w:val="000000"/>
          <w:szCs w:val="24"/>
        </w:rPr>
        <w:t>各</w:t>
      </w:r>
      <w:r>
        <w:rPr>
          <w:color w:val="000000"/>
          <w:szCs w:val="24"/>
        </w:rPr>
        <w:t>级加载质量后不得更改，并按要求进行加载。若加载失败则保留上一级加载质量为最终成绩；</w:t>
      </w:r>
    </w:p>
    <w:p>
      <w:pPr>
        <w:numPr>
          <w:ilvl w:val="0"/>
          <w:numId w:val="5"/>
        </w:numPr>
        <w:spacing w:line="360" w:lineRule="auto"/>
        <w:ind w:firstLine="480"/>
        <w:rPr>
          <w:color w:val="000000"/>
          <w:szCs w:val="24"/>
        </w:rPr>
      </w:pPr>
      <w:r>
        <w:rPr>
          <w:color w:val="000000"/>
          <w:szCs w:val="24"/>
        </w:rPr>
        <w:t>加载过程中，安放砝码结束后由参赛代表队队长举手示意，裁判开始计时</w:t>
      </w:r>
      <w:r>
        <w:rPr>
          <w:rFonts w:hint="eastAsia"/>
          <w:color w:val="000000"/>
          <w:szCs w:val="24"/>
        </w:rPr>
        <w:t>。第一、二</w:t>
      </w:r>
      <w:r>
        <w:rPr>
          <w:color w:val="000000"/>
          <w:szCs w:val="24"/>
        </w:rPr>
        <w:t>级</w:t>
      </w:r>
      <w:r>
        <w:rPr>
          <w:rFonts w:hint="eastAsia"/>
          <w:color w:val="000000"/>
          <w:szCs w:val="24"/>
        </w:rPr>
        <w:t>荷载加载后，荷载</w:t>
      </w:r>
      <w:r>
        <w:rPr>
          <w:color w:val="000000"/>
          <w:szCs w:val="24"/>
        </w:rPr>
        <w:t>持续作用时间</w:t>
      </w:r>
      <w:r>
        <w:rPr>
          <w:rFonts w:hint="eastAsia"/>
          <w:color w:val="000000"/>
          <w:szCs w:val="24"/>
        </w:rPr>
        <w:t>为</w:t>
      </w:r>
      <w:r>
        <w:rPr>
          <w:color w:val="000000"/>
          <w:szCs w:val="24"/>
        </w:rPr>
        <w:t>60s。计时过程中参赛选手不得以任何形式接触模型和已加载的砝码</w:t>
      </w:r>
      <w:r>
        <w:rPr>
          <w:rFonts w:hint="eastAsia"/>
          <w:color w:val="000000"/>
          <w:szCs w:val="24"/>
        </w:rPr>
        <w:t>。</w:t>
      </w:r>
      <w:r>
        <w:rPr>
          <w:color w:val="000000"/>
          <w:szCs w:val="24"/>
        </w:rPr>
        <w:t>60s后读取2个百分表的</w:t>
      </w:r>
      <w:r>
        <w:rPr>
          <w:rFonts w:hint="eastAsia"/>
          <w:color w:val="000000"/>
          <w:szCs w:val="24"/>
        </w:rPr>
        <w:t>读数</w:t>
      </w:r>
      <w:r>
        <w:rPr>
          <w:color w:val="000000"/>
          <w:szCs w:val="24"/>
        </w:rPr>
        <w:t>并记录，</w:t>
      </w:r>
      <w:r>
        <w:rPr>
          <w:rFonts w:hint="eastAsia"/>
          <w:color w:val="000000"/>
          <w:szCs w:val="24"/>
        </w:rPr>
        <w:t>取2个读数间</w:t>
      </w:r>
      <w:r>
        <w:rPr>
          <w:color w:val="000000"/>
          <w:szCs w:val="24"/>
        </w:rPr>
        <w:t>最大值作为该级荷载的沉降值；</w:t>
      </w:r>
    </w:p>
    <w:p>
      <w:pPr>
        <w:numPr>
          <w:ilvl w:val="0"/>
          <w:numId w:val="5"/>
        </w:numPr>
        <w:spacing w:line="360" w:lineRule="auto"/>
        <w:ind w:firstLine="480"/>
        <w:rPr>
          <w:color w:val="000000"/>
          <w:szCs w:val="24"/>
        </w:rPr>
      </w:pPr>
      <w:r>
        <w:rPr>
          <w:rFonts w:hint="eastAsia"/>
          <w:color w:val="000000"/>
          <w:szCs w:val="24"/>
        </w:rPr>
        <w:t>第三级荷载加载后</w:t>
      </w:r>
      <w:r>
        <w:rPr>
          <w:color w:val="000000"/>
          <w:szCs w:val="24"/>
        </w:rPr>
        <w:t>，</w:t>
      </w:r>
      <w:r>
        <w:rPr>
          <w:rFonts w:hint="eastAsia"/>
          <w:color w:val="000000"/>
          <w:szCs w:val="24"/>
        </w:rPr>
        <w:t>荷载</w:t>
      </w:r>
      <w:r>
        <w:rPr>
          <w:color w:val="000000"/>
          <w:szCs w:val="24"/>
        </w:rPr>
        <w:t>持续作用时间</w:t>
      </w:r>
      <w:r>
        <w:rPr>
          <w:rFonts w:hint="eastAsia"/>
          <w:color w:val="000000"/>
          <w:szCs w:val="24"/>
        </w:rPr>
        <w:t>为</w:t>
      </w:r>
      <w:r>
        <w:rPr>
          <w:color w:val="000000"/>
          <w:szCs w:val="24"/>
        </w:rPr>
        <w:t>2min</w:t>
      </w:r>
      <w:r>
        <w:rPr>
          <w:rFonts w:hint="eastAsia"/>
          <w:color w:val="000000"/>
          <w:szCs w:val="24"/>
        </w:rPr>
        <w:t>，随后</w:t>
      </w:r>
      <w:r>
        <w:rPr>
          <w:color w:val="000000"/>
          <w:szCs w:val="24"/>
        </w:rPr>
        <w:t>读取2个百分表的</w:t>
      </w:r>
      <w:r>
        <w:rPr>
          <w:rFonts w:hint="eastAsia"/>
          <w:color w:val="000000"/>
          <w:szCs w:val="24"/>
        </w:rPr>
        <w:t>读数</w:t>
      </w:r>
      <w:r>
        <w:rPr>
          <w:color w:val="000000"/>
          <w:szCs w:val="24"/>
        </w:rPr>
        <w:t>并记录，</w:t>
      </w:r>
      <w:r>
        <w:rPr>
          <w:rFonts w:hint="eastAsia"/>
          <w:color w:val="000000"/>
          <w:szCs w:val="24"/>
        </w:rPr>
        <w:t>取2个读数间的</w:t>
      </w:r>
      <w:r>
        <w:rPr>
          <w:color w:val="000000"/>
          <w:szCs w:val="24"/>
        </w:rPr>
        <w:t>最大值作为最终加载沉降值；</w:t>
      </w:r>
    </w:p>
    <w:p>
      <w:pPr>
        <w:numPr>
          <w:ilvl w:val="0"/>
          <w:numId w:val="5"/>
        </w:numPr>
        <w:spacing w:line="360" w:lineRule="auto"/>
        <w:ind w:firstLine="480"/>
        <w:rPr>
          <w:color w:val="000000"/>
          <w:szCs w:val="24"/>
        </w:rPr>
      </w:pPr>
      <w:r>
        <w:rPr>
          <w:color w:val="000000"/>
          <w:szCs w:val="24"/>
        </w:rPr>
        <w:t>在整个加载过程中，发生以下情形之一者，视为加载失败，结束比赛</w:t>
      </w:r>
      <w:r>
        <w:rPr>
          <w:rFonts w:hint="eastAsia"/>
          <w:color w:val="000000"/>
          <w:szCs w:val="24"/>
        </w:rPr>
        <w:t>：</w:t>
      </w:r>
    </w:p>
    <w:p>
      <w:pPr>
        <w:numPr>
          <w:ilvl w:val="0"/>
          <w:numId w:val="6"/>
        </w:numPr>
        <w:spacing w:line="360" w:lineRule="auto"/>
        <w:ind w:firstLine="480"/>
        <w:rPr>
          <w:color w:val="000000"/>
          <w:szCs w:val="24"/>
        </w:rPr>
      </w:pPr>
      <w:r>
        <w:rPr>
          <w:color w:val="000000"/>
          <w:szCs w:val="24"/>
        </w:rPr>
        <w:t>模型结构发生破坏（诸如支护构件的弯折等）而不能继续承担荷载</w:t>
      </w:r>
      <w:r>
        <w:rPr>
          <w:rFonts w:hint="eastAsia"/>
          <w:color w:val="000000"/>
          <w:szCs w:val="24"/>
        </w:rPr>
        <w:t>；</w:t>
      </w:r>
    </w:p>
    <w:p>
      <w:pPr>
        <w:numPr>
          <w:ilvl w:val="0"/>
          <w:numId w:val="6"/>
        </w:numPr>
        <w:spacing w:line="360" w:lineRule="auto"/>
        <w:ind w:firstLine="480"/>
        <w:rPr>
          <w:color w:val="000000"/>
          <w:szCs w:val="24"/>
        </w:rPr>
      </w:pPr>
      <w:r>
        <w:rPr>
          <w:color w:val="000000"/>
          <w:szCs w:val="24"/>
        </w:rPr>
        <w:t>如果在加载过程中的任何时刻，加载沉降达到10mm</w:t>
      </w:r>
      <w:r>
        <w:rPr>
          <w:rFonts w:hint="eastAsia"/>
          <w:color w:val="000000"/>
          <w:szCs w:val="24"/>
        </w:rPr>
        <w:t>；</w:t>
      </w:r>
    </w:p>
    <w:p>
      <w:pPr>
        <w:numPr>
          <w:ilvl w:val="0"/>
          <w:numId w:val="6"/>
        </w:numPr>
        <w:spacing w:line="360" w:lineRule="auto"/>
        <w:ind w:firstLine="480"/>
        <w:rPr>
          <w:color w:val="000000"/>
          <w:szCs w:val="24"/>
        </w:rPr>
      </w:pPr>
      <w:r>
        <w:rPr>
          <w:color w:val="000000"/>
          <w:szCs w:val="24"/>
        </w:rPr>
        <w:t>如果由于操作失误等原因造成没能完成整体的加载过程。</w:t>
      </w:r>
    </w:p>
    <w:p>
      <w:pPr>
        <w:widowControl/>
        <w:ind w:firstLine="0" w:firstLineChars="0"/>
        <w:jc w:val="left"/>
        <w:rPr>
          <w:rFonts w:eastAsia="黑体"/>
          <w:b/>
          <w:sz w:val="32"/>
          <w:szCs w:val="32"/>
        </w:rPr>
      </w:pPr>
      <w:r>
        <w:rPr>
          <w:rFonts w:ascii="宋体" w:hAnsi="宋体" w:cs="宋体"/>
          <w:b/>
          <w:bCs/>
          <w:color w:val="000000"/>
          <w:kern w:val="0"/>
          <w:sz w:val="32"/>
          <w:szCs w:val="32"/>
          <w:lang w:bidi="ar"/>
        </w:rPr>
        <w:t>七</w:t>
      </w:r>
      <w:r>
        <w:rPr>
          <w:rFonts w:hint="eastAsia" w:ascii="宋体" w:hAnsi="宋体" w:cs="宋体"/>
          <w:b/>
          <w:bCs/>
          <w:color w:val="000000"/>
          <w:kern w:val="0"/>
          <w:sz w:val="32"/>
          <w:szCs w:val="32"/>
          <w:lang w:bidi="ar"/>
        </w:rPr>
        <w:t>、</w:t>
      </w:r>
      <w:r>
        <w:rPr>
          <w:rFonts w:ascii="宋体" w:hAnsi="宋体" w:cs="宋体"/>
          <w:b/>
          <w:bCs/>
          <w:color w:val="000000"/>
          <w:kern w:val="0"/>
          <w:sz w:val="32"/>
          <w:szCs w:val="32"/>
          <w:lang w:bidi="ar"/>
        </w:rPr>
        <w:t>评分标准</w:t>
      </w:r>
    </w:p>
    <w:p>
      <w:pPr>
        <w:numPr>
          <w:ilvl w:val="0"/>
          <w:numId w:val="7"/>
        </w:numPr>
        <w:autoSpaceDE w:val="0"/>
        <w:spacing w:line="360" w:lineRule="auto"/>
        <w:ind w:firstLine="482"/>
        <w:rPr>
          <w:rFonts w:ascii="TimesNewRomanPSMT" w:hAnsi="TimesNewRomanPSMT" w:eastAsia="TimesNewRomanPSMT" w:cs="TimesNewRomanPSMT"/>
          <w:b/>
          <w:bCs/>
          <w:color w:val="000000"/>
          <w:szCs w:val="24"/>
        </w:rPr>
      </w:pPr>
      <w:r>
        <w:rPr>
          <w:rFonts w:ascii="TimesNewRomanPSMT" w:hAnsi="TimesNewRomanPSMT" w:eastAsia="TimesNewRomanPSMT" w:cs="TimesNewRomanPSMT"/>
          <w:b/>
          <w:bCs/>
          <w:color w:val="000000"/>
          <w:szCs w:val="24"/>
          <w:lang w:bidi="ar"/>
        </w:rPr>
        <w:t>参赛作品的分数由以下几部分构成：</w:t>
      </w:r>
    </w:p>
    <w:p>
      <w:pPr>
        <w:autoSpaceDE w:val="0"/>
        <w:spacing w:line="360" w:lineRule="auto"/>
        <w:ind w:firstLine="480"/>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得分按A、 B、 C三档计算。在</w:t>
      </w:r>
      <w:r>
        <w:rPr>
          <w:rFonts w:hint="eastAsia" w:ascii="TimesNewRomanPSMT" w:hAnsi="TimesNewRomanPSMT" w:cs="TimesNewRomanPSMT"/>
          <w:color w:val="000000"/>
          <w:szCs w:val="24"/>
          <w:lang w:bidi="ar"/>
        </w:rPr>
        <w:t>1</w:t>
      </w:r>
      <w:r>
        <w:rPr>
          <w:rFonts w:ascii="TimesNewRomanPSMT" w:hAnsi="TimesNewRomanPSMT" w:cs="TimesNewRomanPSMT"/>
          <w:color w:val="000000"/>
          <w:szCs w:val="24"/>
          <w:lang w:bidi="ar"/>
        </w:rPr>
        <w:t>0</w:t>
      </w:r>
      <w:r>
        <w:rPr>
          <w:rFonts w:ascii="TimesNewRomanPSMT" w:hAnsi="TimesNewRomanPSMT" w:eastAsia="TimesNewRomanPSMT" w:cs="TimesNewRomanPSMT"/>
          <w:color w:val="000000"/>
          <w:szCs w:val="24"/>
          <w:lang w:bidi="ar"/>
        </w:rPr>
        <w:t>0kg荷载下加载沉降</w:t>
      </w:r>
      <w:r>
        <w:rPr>
          <w:rFonts w:eastAsia="TimesNewRomanPSMT"/>
          <w:color w:val="000000"/>
          <w:szCs w:val="24"/>
          <w:lang w:bidi="ar"/>
        </w:rPr>
        <w:t>≤</w:t>
      </w:r>
      <w:r>
        <w:rPr>
          <w:rFonts w:ascii="TimesNewRomanPSMT" w:hAnsi="TimesNewRomanPSMT" w:eastAsia="TimesNewRomanPSMT" w:cs="TimesNewRomanPSMT"/>
          <w:color w:val="000000"/>
          <w:szCs w:val="24"/>
          <w:lang w:bidi="ar"/>
        </w:rPr>
        <w:t>10mm为A档，加载失败的为B档（模型破坏或位移</w:t>
      </w:r>
      <w:r>
        <w:rPr>
          <w:rFonts w:hint="eastAsia" w:ascii="TimesNewRomanPSMT" w:hAnsi="TimesNewRomanPSMT" w:eastAsia="TimesNewRomanPSMT" w:cs="TimesNewRomanPSMT"/>
          <w:color w:val="000000"/>
          <w:szCs w:val="24"/>
          <w:lang w:bidi="ar"/>
        </w:rPr>
        <w:t>&gt;</w:t>
      </w:r>
      <w:r>
        <w:rPr>
          <w:rFonts w:ascii="TimesNewRomanPSMT" w:hAnsi="TimesNewRomanPSMT" w:eastAsia="TimesNewRomanPSMT" w:cs="TimesNewRomanPSMT"/>
          <w:color w:val="000000"/>
          <w:szCs w:val="24"/>
          <w:lang w:bidi="ar"/>
        </w:rPr>
        <w:t>10mm），模型制作失败的为C档，排序方式为</w:t>
      </w:r>
      <w:r>
        <w:rPr>
          <w:rFonts w:hint="eastAsia" w:ascii="TimesNewRomanPSMT" w:hAnsi="TimesNewRomanPSMT" w:eastAsia="TimesNewRomanPSMT" w:cs="TimesNewRomanPSMT"/>
          <w:color w:val="000000"/>
          <w:szCs w:val="24"/>
          <w:lang w:bidi="ar"/>
        </w:rPr>
        <w:t>A</w:t>
      </w:r>
      <w:r>
        <w:rPr>
          <w:rFonts w:ascii="TimesNewRomanPSMT" w:hAnsi="TimesNewRomanPSMT" w:eastAsia="TimesNewRomanPSMT" w:cs="TimesNewRomanPSMT"/>
          <w:color w:val="000000"/>
          <w:szCs w:val="24"/>
          <w:lang w:bidi="ar"/>
        </w:rPr>
        <w:t>&gt;B&gt;C。</w:t>
      </w:r>
    </w:p>
    <w:p>
      <w:pPr>
        <w:autoSpaceDE w:val="0"/>
        <w:spacing w:line="360" w:lineRule="auto"/>
        <w:ind w:firstLine="480"/>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(a) A档按照以下得分排序：</w:t>
      </w:r>
    </w:p>
    <w:p>
      <w:pPr>
        <w:autoSpaceDE w:val="0"/>
        <w:spacing w:line="360" w:lineRule="auto"/>
        <w:ind w:firstLine="480"/>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得分</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1</w:t>
      </w:r>
      <w:r>
        <w:rPr>
          <w:rFonts w:eastAsia="TimesNewRomanPSMT"/>
          <w:color w:val="000000"/>
          <w:szCs w:val="24"/>
          <w:lang w:bidi="ar"/>
        </w:rPr>
        <w:t>×</w:t>
      </w:r>
      <w:r>
        <w:rPr>
          <w:rFonts w:ascii="TimesNewRomanPSMT" w:hAnsi="TimesNewRomanPSMT" w:eastAsia="TimesNewRomanPSMT" w:cs="TimesNewRomanPSMT"/>
          <w:color w:val="000000"/>
          <w:szCs w:val="24"/>
          <w:lang w:bidi="ar"/>
        </w:rPr>
        <w:t>10%+</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2</w:t>
      </w:r>
      <w:r>
        <w:rPr>
          <w:rFonts w:eastAsia="TimesNewRomanPSMT"/>
          <w:color w:val="000000"/>
          <w:szCs w:val="24"/>
          <w:lang w:bidi="ar"/>
        </w:rPr>
        <w:t>×</w:t>
      </w:r>
      <w:r>
        <w:rPr>
          <w:rFonts w:ascii="TimesNewRomanPSMT" w:hAnsi="TimesNewRomanPSMT" w:eastAsia="TimesNewRomanPSMT" w:cs="TimesNewRomanPSMT"/>
          <w:color w:val="000000"/>
          <w:szCs w:val="24"/>
          <w:lang w:bidi="ar"/>
        </w:rPr>
        <w:t>50%+</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3</w:t>
      </w:r>
      <w:r>
        <w:rPr>
          <w:rFonts w:eastAsia="TimesNewRomanPSMT"/>
          <w:color w:val="000000"/>
          <w:szCs w:val="24"/>
          <w:lang w:bidi="ar"/>
        </w:rPr>
        <w:t>×</w:t>
      </w:r>
      <w:r>
        <w:rPr>
          <w:rFonts w:ascii="TimesNewRomanPSMT" w:hAnsi="TimesNewRomanPSMT" w:eastAsia="TimesNewRomanPSMT" w:cs="TimesNewRomanPSMT"/>
          <w:color w:val="000000"/>
          <w:szCs w:val="24"/>
          <w:lang w:bidi="ar"/>
        </w:rPr>
        <w:t>10%+</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4</w:t>
      </w:r>
      <w:r>
        <w:rPr>
          <w:rFonts w:eastAsia="TimesNewRomanPSMT"/>
          <w:color w:val="000000"/>
          <w:szCs w:val="24"/>
          <w:lang w:bidi="ar"/>
        </w:rPr>
        <w:t>×</w:t>
      </w:r>
      <w:r>
        <w:rPr>
          <w:rFonts w:ascii="TimesNewRomanPSMT" w:hAnsi="TimesNewRomanPSMT" w:eastAsia="TimesNewRomanPSMT" w:cs="TimesNewRomanPSMT"/>
          <w:color w:val="000000"/>
          <w:szCs w:val="24"/>
          <w:lang w:bidi="ar"/>
        </w:rPr>
        <w:t>30%</w:t>
      </w:r>
    </w:p>
    <w:p>
      <w:pPr>
        <w:autoSpaceDE w:val="0"/>
        <w:spacing w:line="360" w:lineRule="auto"/>
        <w:ind w:firstLine="480"/>
        <w:rPr>
          <w:rFonts w:ascii="TimesNewRomanPSMT" w:hAnsi="TimesNewRomanPSMT" w:eastAsia="TimesNewRomanPSMT" w:cs="TimesNewRomanPSMT"/>
          <w:color w:val="000000"/>
          <w:szCs w:val="24"/>
          <w:lang w:bidi="ar"/>
        </w:rPr>
      </w:pPr>
      <w:r>
        <w:rPr>
          <w:rFonts w:ascii="TimesNewRomanPSMT" w:hAnsi="TimesNewRomanPSMT" w:eastAsia="TimesNewRomanPSMT" w:cs="TimesNewRomanPSMT"/>
          <w:color w:val="000000"/>
          <w:szCs w:val="24"/>
          <w:lang w:bidi="ar"/>
        </w:rPr>
        <w:t xml:space="preserve">a. </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1为设计报告得分，最高100分</w:t>
      </w:r>
      <w:r>
        <w:rPr>
          <w:rFonts w:hint="eastAsia" w:ascii="TimesNewRomanPSMT" w:hAnsi="TimesNewRomanPSMT" w:cs="TimesNewRomanPSMT" w:eastAsiaTheme="minorEastAsia"/>
          <w:color w:val="000000"/>
          <w:szCs w:val="24"/>
          <w:lang w:bidi="ar"/>
        </w:rPr>
        <w:t>，</w:t>
      </w:r>
      <w:r>
        <w:rPr>
          <w:rFonts w:hint="eastAsia" w:ascii="TimesNewRomanPSMT" w:hAnsi="TimesNewRomanPSMT" w:eastAsia="TimesNewRomanPSMT" w:cs="TimesNewRomanPSMT"/>
          <w:color w:val="000000"/>
          <w:szCs w:val="24"/>
          <w:lang w:bidi="ar"/>
        </w:rPr>
        <w:t>由评审专家组的评委按设计内容的完整性、计算的正确性和书写的规范性等进行评分。去掉一个最高分和一个最低分，取其余评委的平均分作为该参赛代表队的该项得分。</w:t>
      </w:r>
      <w:r>
        <w:rPr>
          <w:rFonts w:ascii="TimesNewRomanPSMT" w:hAnsi="TimesNewRomanPSMT" w:eastAsia="TimesNewRomanPSMT" w:cs="TimesNewRomanPSMT"/>
          <w:color w:val="000000"/>
          <w:szCs w:val="24"/>
          <w:lang w:bidi="ar"/>
        </w:rPr>
        <w:t>现场比赛方案的结构应与报告保持一致，否则应在现场比赛之前</w:t>
      </w:r>
      <w:r>
        <w:rPr>
          <w:rFonts w:hint="eastAsia" w:ascii="TimesNewRomanPSMT" w:hAnsi="TimesNewRomanPSMT" w:cs="TimesNewRomanPSMT" w:eastAsiaTheme="minorEastAsia"/>
          <w:color w:val="000000"/>
          <w:szCs w:val="24"/>
          <w:lang w:bidi="ar"/>
        </w:rPr>
        <w:t>按</w:t>
      </w:r>
      <w:r>
        <w:rPr>
          <w:rFonts w:ascii="TimesNewRomanPSMT" w:hAnsi="TimesNewRomanPSMT" w:cs="TimesNewRomanPSMT" w:eastAsiaTheme="minorEastAsia"/>
          <w:color w:val="000000"/>
          <w:szCs w:val="24"/>
          <w:lang w:bidi="ar"/>
        </w:rPr>
        <w:t>规定时间</w:t>
      </w:r>
      <w:r>
        <w:rPr>
          <w:rFonts w:ascii="TimesNewRomanPSMT" w:hAnsi="TimesNewRomanPSMT" w:eastAsia="TimesNewRomanPSMT" w:cs="TimesNewRomanPSMT"/>
          <w:color w:val="000000"/>
          <w:szCs w:val="24"/>
          <w:lang w:bidi="ar"/>
        </w:rPr>
        <w:t>提交最终稿至组委会；</w:t>
      </w:r>
    </w:p>
    <w:p>
      <w:pPr>
        <w:autoSpaceDE w:val="0"/>
        <w:spacing w:line="360" w:lineRule="auto"/>
        <w:ind w:firstLine="480"/>
        <w:rPr>
          <w:rFonts w:ascii="TimesNewRomanPSMT" w:hAnsi="TimesNewRomanPSMT" w:cs="TimesNewRomanPSMT" w:eastAsiaTheme="minorEastAsia"/>
          <w:color w:val="000000"/>
          <w:szCs w:val="24"/>
          <w:lang w:bidi="ar"/>
        </w:rPr>
      </w:pPr>
      <w:r>
        <w:rPr>
          <w:rFonts w:ascii="TimesNewRomanPSMT" w:hAnsi="TimesNewRomanPSMT" w:eastAsia="TimesNewRomanPSMT" w:cs="TimesNewRomanPSMT"/>
          <w:color w:val="000000"/>
          <w:szCs w:val="24"/>
          <w:lang w:bidi="ar"/>
        </w:rPr>
        <w:t xml:space="preserve">b. </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2为模型</w:t>
      </w:r>
      <w:r>
        <w:rPr>
          <w:rFonts w:hint="eastAsia" w:ascii="TimesNewRomanPSMT" w:hAnsi="TimesNewRomanPSMT" w:cs="TimesNewRomanPSMT" w:eastAsiaTheme="minorEastAsia"/>
          <w:color w:val="000000"/>
          <w:szCs w:val="24"/>
          <w:lang w:bidi="ar"/>
        </w:rPr>
        <w:t>承载比</w:t>
      </w:r>
      <w:r>
        <w:rPr>
          <w:rFonts w:ascii="TimesNewRomanPSMT" w:hAnsi="TimesNewRomanPSMT" w:eastAsia="TimesNewRomanPSMT" w:cs="TimesNewRomanPSMT"/>
          <w:color w:val="000000"/>
          <w:szCs w:val="24"/>
          <w:lang w:bidi="ar"/>
        </w:rPr>
        <w:t>得分，</w:t>
      </w:r>
      <w:r>
        <w:rPr>
          <w:rFonts w:hint="eastAsia" w:ascii="TimesNewRomanPSMT" w:hAnsi="TimesNewRomanPSMT" w:cs="TimesNewRomanPSMT" w:eastAsiaTheme="minorEastAsia"/>
          <w:color w:val="000000"/>
          <w:szCs w:val="24"/>
          <w:lang w:bidi="ar"/>
        </w:rPr>
        <w:t>承载比（累计最大加载质量/</w:t>
      </w:r>
      <w:r>
        <w:rPr>
          <w:color w:val="000000"/>
          <w:szCs w:val="24"/>
        </w:rPr>
        <w:t>模型材料用量</w:t>
      </w:r>
      <w:r>
        <w:rPr>
          <w:rFonts w:hint="eastAsia"/>
          <w:color w:val="000000"/>
          <w:szCs w:val="24"/>
        </w:rPr>
        <w:t>）</w:t>
      </w:r>
      <w:r>
        <w:rPr>
          <w:rFonts w:ascii="TimesNewRomanPSMT" w:hAnsi="TimesNewRomanPSMT" w:cs="TimesNewRomanPSMT" w:eastAsiaTheme="minorEastAsia"/>
          <w:color w:val="000000"/>
          <w:szCs w:val="24"/>
          <w:lang w:bidi="ar"/>
        </w:rPr>
        <w:t>最大的队伍得分</w:t>
      </w:r>
      <w:r>
        <w:rPr>
          <w:rFonts w:hint="eastAsia" w:ascii="TimesNewRomanPSMT" w:hAnsi="TimesNewRomanPSMT" w:cs="TimesNewRomanPSMT" w:eastAsiaTheme="minorEastAsia"/>
          <w:color w:val="000000"/>
          <w:szCs w:val="24"/>
          <w:lang w:bidi="ar"/>
        </w:rPr>
        <w:t>100分</w:t>
      </w:r>
      <w:r>
        <w:rPr>
          <w:rFonts w:ascii="TimesNewRomanPSMT" w:hAnsi="TimesNewRomanPSMT" w:eastAsia="TimesNewRomanPSMT" w:cs="TimesNewRomanPSMT"/>
          <w:color w:val="000000"/>
          <w:szCs w:val="24"/>
          <w:lang w:bidi="ar"/>
        </w:rPr>
        <w:t>，</w:t>
      </w:r>
      <w:r>
        <w:rPr>
          <w:rFonts w:hint="eastAsia" w:ascii="TimesNewRomanPSMT" w:hAnsi="TimesNewRomanPSMT" w:cs="TimesNewRomanPSMT" w:eastAsiaTheme="minorEastAsia"/>
          <w:color w:val="000000"/>
          <w:szCs w:val="24"/>
          <w:lang w:bidi="ar"/>
        </w:rPr>
        <w:t>承</w:t>
      </w:r>
      <w:r>
        <w:rPr>
          <w:rFonts w:ascii="TimesNewRomanPSMT" w:hAnsi="TimesNewRomanPSMT" w:cs="TimesNewRomanPSMT" w:eastAsiaTheme="minorEastAsia"/>
          <w:color w:val="000000"/>
          <w:szCs w:val="24"/>
          <w:lang w:bidi="ar"/>
        </w:rPr>
        <w:t>载比最小的队伍</w:t>
      </w:r>
      <w:r>
        <w:rPr>
          <w:rFonts w:hint="eastAsia" w:ascii="TimesNewRomanPSMT" w:hAnsi="TimesNewRomanPSMT" w:cs="TimesNewRomanPSMT" w:eastAsiaTheme="minorEastAsia"/>
          <w:color w:val="000000"/>
          <w:szCs w:val="24"/>
          <w:lang w:bidi="ar"/>
        </w:rPr>
        <w:t>得</w:t>
      </w:r>
      <w:r>
        <w:rPr>
          <w:rFonts w:ascii="TimesNewRomanPSMT" w:hAnsi="TimesNewRomanPSMT" w:cs="TimesNewRomanPSMT" w:eastAsiaTheme="minorEastAsia"/>
          <w:color w:val="000000"/>
          <w:szCs w:val="24"/>
          <w:lang w:bidi="ar"/>
        </w:rPr>
        <w:t>分</w:t>
      </w:r>
      <w:r>
        <w:rPr>
          <w:rFonts w:hint="eastAsia" w:ascii="TimesNewRomanPSMT" w:hAnsi="TimesNewRomanPSMT" w:cs="TimesNewRomanPSMT" w:eastAsiaTheme="minorEastAsia"/>
          <w:color w:val="000000"/>
          <w:szCs w:val="24"/>
          <w:lang w:bidi="ar"/>
        </w:rPr>
        <w:t>60分，</w:t>
      </w:r>
      <w:r>
        <w:rPr>
          <w:rFonts w:ascii="TimesNewRomanPSMT" w:hAnsi="TimesNewRomanPSMT" w:cs="TimesNewRomanPSMT" w:eastAsiaTheme="minorEastAsia"/>
          <w:color w:val="000000"/>
          <w:szCs w:val="24"/>
          <w:lang w:bidi="ar"/>
        </w:rPr>
        <w:t>其他代表队得分为：</w:t>
      </w:r>
    </w:p>
    <w:p>
      <w:pPr>
        <w:autoSpaceDE w:val="0"/>
        <w:spacing w:line="360" w:lineRule="auto"/>
        <w:ind w:firstLine="480"/>
        <w:jc w:val="center"/>
      </w:pPr>
      <w:r>
        <w:rPr>
          <w:position w:val="-30"/>
        </w:rPr>
        <w:object>
          <v:shape id="_x0000_i1025" o:spt="75" type="#_x0000_t75" style="height:32.25pt;width:119.25pt;" o:ole="t" filled="f" o:preferrelative="t" stroked="f" coordsize="21600,21600">
            <v:path/>
            <v:fill on="f" focussize="0,0"/>
            <v:stroke on="f" joinstyle="miter"/>
            <v:imagedata r:id="rId19" o:title=""/>
            <o:lock v:ext="edit" aspectratio="t"/>
            <w10:wrap type="none"/>
            <w10:anchorlock/>
          </v:shape>
          <o:OLEObject Type="Embed" ProgID="Equation.DSMT4" ShapeID="_x0000_i1025" DrawAspect="Content" ObjectID="_1468075725" r:id="rId18">
            <o:LockedField>false</o:LockedField>
          </o:OLEObject>
        </w:object>
      </w:r>
    </w:p>
    <w:p>
      <w:pPr>
        <w:autoSpaceDE w:val="0"/>
        <w:spacing w:line="360" w:lineRule="auto"/>
        <w:ind w:firstLine="480"/>
        <w:jc w:val="left"/>
        <w:rPr>
          <w:rFonts w:ascii="TimesNewRomanPSMT" w:hAnsi="TimesNewRomanPSMT" w:cs="TimesNewRomanPSMT" w:eastAsiaTheme="minorEastAsia"/>
          <w:color w:val="000000"/>
          <w:szCs w:val="24"/>
          <w:lang w:bidi="ar"/>
        </w:rPr>
      </w:pPr>
      <w:r>
        <w:rPr>
          <w:rFonts w:hint="eastAsia" w:ascii="TimesNewRomanPSMT" w:hAnsi="TimesNewRomanPSMT" w:cs="TimesNewRomanPSMT" w:eastAsiaTheme="minorEastAsia"/>
          <w:color w:val="000000"/>
          <w:szCs w:val="24"/>
          <w:lang w:bidi="ar"/>
        </w:rPr>
        <w:t>式</w:t>
      </w:r>
      <w:r>
        <w:rPr>
          <w:rFonts w:ascii="TimesNewRomanPSMT" w:hAnsi="TimesNewRomanPSMT" w:cs="TimesNewRomanPSMT" w:eastAsiaTheme="minorEastAsia"/>
          <w:color w:val="000000"/>
          <w:szCs w:val="24"/>
          <w:lang w:bidi="ar"/>
        </w:rPr>
        <w:t>中：</w:t>
      </w:r>
      <w:r>
        <w:rPr>
          <w:rFonts w:hint="eastAsia" w:ascii="TimesNewRomanPSMT" w:hAnsi="TimesNewRomanPSMT" w:cs="TimesNewRomanPSMT" w:eastAsiaTheme="minorEastAsia"/>
          <w:i/>
          <w:color w:val="000000"/>
          <w:szCs w:val="24"/>
          <w:lang w:bidi="ar"/>
        </w:rPr>
        <w:t>S</w:t>
      </w:r>
      <w:r>
        <w:rPr>
          <w:rFonts w:ascii="TimesNewRomanPSMT" w:hAnsi="TimesNewRomanPSMT" w:cs="TimesNewRomanPSMT" w:eastAsiaTheme="minorEastAsia"/>
          <w:color w:val="000000"/>
          <w:szCs w:val="24"/>
          <w:lang w:bidi="ar"/>
        </w:rPr>
        <w:t>2</w:t>
      </w:r>
      <w:r>
        <w:rPr>
          <w:rFonts w:ascii="TimesNewRomanPSMT" w:hAnsi="TimesNewRomanPSMT" w:cs="TimesNewRomanPSMT" w:eastAsiaTheme="minorEastAsia"/>
          <w:i/>
          <w:color w:val="000000"/>
          <w:szCs w:val="24"/>
          <w:vertAlign w:val="subscript"/>
          <w:lang w:bidi="ar"/>
        </w:rPr>
        <w:t>i</w:t>
      </w:r>
      <w:r>
        <w:rPr>
          <w:rFonts w:hint="eastAsia" w:ascii="TimesNewRomanPSMT" w:hAnsi="TimesNewRomanPSMT" w:cs="TimesNewRomanPSMT" w:eastAsiaTheme="minorEastAsia"/>
          <w:color w:val="000000"/>
          <w:szCs w:val="24"/>
          <w:lang w:bidi="ar"/>
        </w:rPr>
        <w:t>为</w:t>
      </w:r>
      <w:r>
        <w:rPr>
          <w:rFonts w:ascii="TimesNewRomanPSMT" w:hAnsi="TimesNewRomanPSMT" w:cs="TimesNewRomanPSMT" w:eastAsiaTheme="minorEastAsia"/>
          <w:color w:val="000000"/>
          <w:szCs w:val="24"/>
          <w:lang w:bidi="ar"/>
        </w:rPr>
        <w:t>第</w:t>
      </w:r>
      <w:r>
        <w:rPr>
          <w:rFonts w:hint="eastAsia" w:ascii="TimesNewRomanPSMT" w:hAnsi="TimesNewRomanPSMT" w:cs="TimesNewRomanPSMT" w:eastAsiaTheme="minorEastAsia"/>
          <w:i/>
          <w:color w:val="000000"/>
          <w:szCs w:val="24"/>
          <w:lang w:bidi="ar"/>
        </w:rPr>
        <w:t>i</w:t>
      </w:r>
      <w:r>
        <w:rPr>
          <w:rFonts w:hint="eastAsia" w:ascii="TimesNewRomanPSMT" w:hAnsi="TimesNewRomanPSMT" w:cs="TimesNewRomanPSMT" w:eastAsiaTheme="minorEastAsia"/>
          <w:color w:val="000000"/>
          <w:szCs w:val="24"/>
          <w:lang w:bidi="ar"/>
        </w:rPr>
        <w:t>支</w:t>
      </w:r>
      <w:r>
        <w:rPr>
          <w:rFonts w:ascii="TimesNewRomanPSMT" w:hAnsi="TimesNewRomanPSMT" w:cs="TimesNewRomanPSMT" w:eastAsiaTheme="minorEastAsia"/>
          <w:color w:val="000000"/>
          <w:szCs w:val="24"/>
          <w:lang w:bidi="ar"/>
        </w:rPr>
        <w:t>代表队得分；</w:t>
      </w:r>
      <w:r>
        <w:rPr>
          <w:rFonts w:hint="eastAsia" w:ascii="TimesNewRomanPSMT" w:hAnsi="TimesNewRomanPSMT" w:cs="TimesNewRomanPSMT" w:eastAsiaTheme="minorEastAsia"/>
          <w:i/>
          <w:color w:val="000000"/>
          <w:szCs w:val="24"/>
          <w:lang w:bidi="ar"/>
        </w:rPr>
        <w:t>k</w:t>
      </w:r>
      <w:r>
        <w:rPr>
          <w:rFonts w:ascii="TimesNewRomanPSMT" w:hAnsi="TimesNewRomanPSMT" w:cs="TimesNewRomanPSMT" w:eastAsiaTheme="minorEastAsia"/>
          <w:i/>
          <w:color w:val="000000"/>
          <w:szCs w:val="24"/>
          <w:vertAlign w:val="subscript"/>
          <w:lang w:bidi="ar"/>
        </w:rPr>
        <w:t>i</w:t>
      </w:r>
      <w:r>
        <w:rPr>
          <w:rFonts w:hint="eastAsia" w:ascii="TimesNewRomanPSMT" w:hAnsi="TimesNewRomanPSMT" w:cs="TimesNewRomanPSMT" w:eastAsiaTheme="minorEastAsia"/>
          <w:color w:val="000000"/>
          <w:szCs w:val="24"/>
          <w:lang w:bidi="ar"/>
        </w:rPr>
        <w:t>为第</w:t>
      </w:r>
      <w:r>
        <w:rPr>
          <w:rFonts w:hint="eastAsia" w:ascii="TimesNewRomanPSMT" w:hAnsi="TimesNewRomanPSMT" w:cs="TimesNewRomanPSMT" w:eastAsiaTheme="minorEastAsia"/>
          <w:i/>
          <w:color w:val="000000"/>
          <w:szCs w:val="24"/>
          <w:lang w:bidi="ar"/>
        </w:rPr>
        <w:t>i</w:t>
      </w:r>
      <w:r>
        <w:rPr>
          <w:rFonts w:hint="eastAsia" w:ascii="TimesNewRomanPSMT" w:hAnsi="TimesNewRomanPSMT" w:cs="TimesNewRomanPSMT" w:eastAsiaTheme="minorEastAsia"/>
          <w:color w:val="000000"/>
          <w:szCs w:val="24"/>
          <w:lang w:bidi="ar"/>
        </w:rPr>
        <w:t>支代表队的模型承载比；</w:t>
      </w:r>
      <w:r>
        <w:rPr>
          <w:rFonts w:hint="eastAsia" w:ascii="TimesNewRomanPSMT" w:hAnsi="TimesNewRomanPSMT" w:cs="TimesNewRomanPSMT" w:eastAsiaTheme="minorEastAsia"/>
          <w:i/>
          <w:color w:val="000000"/>
          <w:szCs w:val="24"/>
          <w:lang w:bidi="ar"/>
        </w:rPr>
        <w:t>k</w:t>
      </w:r>
      <w:r>
        <w:rPr>
          <w:rFonts w:ascii="TimesNewRomanPSMT" w:hAnsi="TimesNewRomanPSMT" w:cs="TimesNewRomanPSMT" w:eastAsiaTheme="minorEastAsia"/>
          <w:color w:val="000000"/>
          <w:szCs w:val="24"/>
          <w:vertAlign w:val="subscript"/>
          <w:lang w:bidi="ar"/>
        </w:rPr>
        <w:t>min</w:t>
      </w:r>
      <w:r>
        <w:rPr>
          <w:rFonts w:ascii="TimesNewRomanPSMT" w:hAnsi="TimesNewRomanPSMT" w:cs="TimesNewRomanPSMT" w:eastAsiaTheme="minorEastAsia"/>
          <w:color w:val="000000"/>
          <w:szCs w:val="24"/>
          <w:lang w:bidi="ar"/>
        </w:rPr>
        <w:t>为</w:t>
      </w:r>
      <w:r>
        <w:rPr>
          <w:rFonts w:hint="eastAsia" w:ascii="TimesNewRomanPSMT" w:hAnsi="TimesNewRomanPSMT" w:cs="TimesNewRomanPSMT" w:eastAsiaTheme="minorEastAsia"/>
          <w:color w:val="000000"/>
          <w:szCs w:val="24"/>
          <w:lang w:bidi="ar"/>
        </w:rPr>
        <w:t>所有完成参赛代表队中模型承载比最小值；</w:t>
      </w:r>
      <w:r>
        <w:rPr>
          <w:rFonts w:ascii="TimesNewRomanPSMT" w:hAnsi="TimesNewRomanPSMT" w:cs="TimesNewRomanPSMT" w:eastAsiaTheme="minorEastAsia"/>
          <w:i/>
          <w:color w:val="000000"/>
          <w:szCs w:val="24"/>
          <w:lang w:bidi="ar"/>
        </w:rPr>
        <w:t>k</w:t>
      </w:r>
      <w:r>
        <w:rPr>
          <w:rFonts w:ascii="TimesNewRomanPSMT" w:hAnsi="TimesNewRomanPSMT" w:cs="TimesNewRomanPSMT" w:eastAsiaTheme="minorEastAsia"/>
          <w:color w:val="000000"/>
          <w:szCs w:val="24"/>
          <w:vertAlign w:val="subscript"/>
          <w:lang w:bidi="ar"/>
        </w:rPr>
        <w:t>max</w:t>
      </w:r>
      <w:r>
        <w:rPr>
          <w:rFonts w:hint="eastAsia" w:ascii="TimesNewRomanPSMT" w:hAnsi="TimesNewRomanPSMT" w:cs="TimesNewRomanPSMT" w:eastAsiaTheme="minorEastAsia"/>
          <w:color w:val="000000"/>
          <w:szCs w:val="24"/>
          <w:lang w:bidi="ar"/>
        </w:rPr>
        <w:t>为所有完成参赛代表队中模型承载比最大值。</w:t>
      </w:r>
    </w:p>
    <w:p>
      <w:pPr>
        <w:autoSpaceDE w:val="0"/>
        <w:spacing w:line="360" w:lineRule="auto"/>
        <w:ind w:firstLine="480"/>
        <w:rPr>
          <w:rFonts w:ascii="TimesNewRomanPSMT" w:hAnsi="TimesNewRomanPSMT" w:cs="TimesNewRomanPSMT" w:eastAsiaTheme="minorEastAsia"/>
          <w:color w:val="000000"/>
          <w:szCs w:val="24"/>
          <w:lang w:bidi="ar"/>
        </w:rPr>
      </w:pPr>
      <w:r>
        <w:rPr>
          <w:rFonts w:ascii="TimesNewRomanPSMT" w:hAnsi="TimesNewRomanPSMT" w:eastAsia="TimesNewRomanPSMT" w:cs="TimesNewRomanPSMT"/>
          <w:color w:val="000000"/>
          <w:szCs w:val="24"/>
          <w:lang w:bidi="ar"/>
        </w:rPr>
        <w:t xml:space="preserve">c. </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3为模型制作耗时</w:t>
      </w:r>
      <w:r>
        <w:rPr>
          <w:rFonts w:hint="eastAsia" w:ascii="TimesNewRomanPSMT" w:hAnsi="TimesNewRomanPSMT" w:cs="TimesNewRomanPSMT" w:eastAsiaTheme="minorEastAsia"/>
          <w:color w:val="000000"/>
          <w:szCs w:val="24"/>
          <w:lang w:bidi="ar"/>
        </w:rPr>
        <w:t>得分</w:t>
      </w:r>
      <w:r>
        <w:rPr>
          <w:rFonts w:ascii="TimesNewRomanPSMT" w:hAnsi="TimesNewRomanPSMT" w:eastAsia="TimesNewRomanPSMT" w:cs="TimesNewRomanPSMT"/>
          <w:color w:val="000000"/>
          <w:szCs w:val="24"/>
          <w:lang w:bidi="ar"/>
        </w:rPr>
        <w:t>，</w:t>
      </w:r>
      <w:r>
        <w:rPr>
          <w:position w:val="-24"/>
        </w:rPr>
        <w:object>
          <v:shape id="_x0000_i1026" o:spt="75" type="#_x0000_t75" style="height:31.7pt;width:115.2pt;" o:ole="t" filled="f" o:preferrelative="t" stroked="f" coordsize="21600,21600">
            <v:path/>
            <v:fill on="f" focussize="0,0"/>
            <v:stroke on="f" joinstyle="miter"/>
            <v:imagedata r:id="rId21" o:title=""/>
            <o:lock v:ext="edit" aspectratio="t"/>
            <w10:wrap type="none"/>
            <w10:anchorlock/>
          </v:shape>
          <o:OLEObject Type="Embed" ProgID="Equation.DSMT4" ShapeID="_x0000_i1026" DrawAspect="Content" ObjectID="_1468075726" r:id="rId20">
            <o:LockedField>false</o:LockedField>
          </o:OLEObject>
        </w:object>
      </w:r>
    </w:p>
    <w:p>
      <w:pPr>
        <w:autoSpaceDE w:val="0"/>
        <w:spacing w:line="360" w:lineRule="auto"/>
        <w:ind w:firstLine="480"/>
        <w:rPr>
          <w:rFonts w:ascii="TimesNewRomanPSMT" w:hAnsi="TimesNewRomanPSMT" w:cs="TimesNewRomanPSMT" w:eastAsiaTheme="minorEastAsia"/>
          <w:color w:val="000000"/>
          <w:szCs w:val="24"/>
          <w:lang w:bidi="ar"/>
        </w:rPr>
      </w:pPr>
      <w:r>
        <w:rPr>
          <w:rFonts w:hint="eastAsia" w:ascii="TimesNewRomanPSMT" w:hAnsi="TimesNewRomanPSMT" w:cs="TimesNewRomanPSMT" w:eastAsiaTheme="minorEastAsia"/>
          <w:color w:val="000000"/>
          <w:szCs w:val="24"/>
          <w:lang w:bidi="ar"/>
        </w:rPr>
        <w:t>式</w:t>
      </w:r>
      <w:r>
        <w:rPr>
          <w:rFonts w:ascii="TimesNewRomanPSMT" w:hAnsi="TimesNewRomanPSMT" w:cs="TimesNewRomanPSMT" w:eastAsiaTheme="minorEastAsia"/>
          <w:color w:val="000000"/>
          <w:szCs w:val="24"/>
          <w:lang w:bidi="ar"/>
        </w:rPr>
        <w:t>中：</w:t>
      </w:r>
      <w:r>
        <w:rPr>
          <w:rFonts w:ascii="TimesNewRomanPSMT" w:hAnsi="TimesNewRomanPSMT" w:eastAsia="TimesNewRomanPSMT" w:cs="TimesNewRomanPSMT"/>
          <w:i/>
          <w:color w:val="000000"/>
          <w:szCs w:val="24"/>
          <w:lang w:bidi="ar"/>
        </w:rPr>
        <w:t>T</w:t>
      </w:r>
      <w:r>
        <w:rPr>
          <w:rFonts w:ascii="TimesNewRomanPSMT" w:hAnsi="TimesNewRomanPSMT" w:eastAsia="TimesNewRomanPSMT" w:cs="TimesNewRomanPSMT"/>
          <w:i/>
          <w:color w:val="000000"/>
          <w:szCs w:val="24"/>
          <w:vertAlign w:val="subscript"/>
          <w:lang w:bidi="ar"/>
        </w:rPr>
        <w:t>i</w:t>
      </w:r>
      <w:r>
        <w:rPr>
          <w:rFonts w:ascii="TimesNewRomanPSMT" w:hAnsi="TimesNewRomanPSMT" w:eastAsia="TimesNewRomanPSMT" w:cs="TimesNewRomanPSMT"/>
          <w:color w:val="000000"/>
          <w:szCs w:val="24"/>
          <w:lang w:bidi="ar"/>
        </w:rPr>
        <w:t>为</w:t>
      </w:r>
      <w:r>
        <w:rPr>
          <w:rFonts w:hint="eastAsia" w:ascii="TimesNewRomanPSMT" w:hAnsi="TimesNewRomanPSMT" w:cs="TimesNewRomanPSMT" w:eastAsiaTheme="minorEastAsia"/>
          <w:color w:val="000000"/>
          <w:szCs w:val="24"/>
          <w:lang w:bidi="ar"/>
        </w:rPr>
        <w:t>第</w:t>
      </w:r>
      <w:r>
        <w:rPr>
          <w:rFonts w:hint="eastAsia" w:ascii="TimesNewRomanPSMT" w:hAnsi="TimesNewRomanPSMT" w:cs="TimesNewRomanPSMT" w:eastAsiaTheme="minorEastAsia"/>
          <w:i/>
          <w:color w:val="000000"/>
          <w:szCs w:val="24"/>
          <w:lang w:bidi="ar"/>
        </w:rPr>
        <w:t>i</w:t>
      </w:r>
      <w:r>
        <w:rPr>
          <w:rFonts w:hint="eastAsia" w:ascii="TimesNewRomanPSMT" w:hAnsi="TimesNewRomanPSMT" w:cs="TimesNewRomanPSMT" w:eastAsiaTheme="minorEastAsia"/>
          <w:color w:val="000000"/>
          <w:szCs w:val="24"/>
          <w:lang w:bidi="ar"/>
        </w:rPr>
        <w:t>支代表队模型</w:t>
      </w:r>
      <w:r>
        <w:rPr>
          <w:rFonts w:ascii="TimesNewRomanPSMT" w:hAnsi="TimesNewRomanPSMT" w:cs="TimesNewRomanPSMT" w:eastAsiaTheme="minorEastAsia"/>
          <w:color w:val="000000"/>
          <w:szCs w:val="24"/>
          <w:lang w:bidi="ar"/>
        </w:rPr>
        <w:t>制作的</w:t>
      </w:r>
      <w:r>
        <w:rPr>
          <w:rFonts w:ascii="TimesNewRomanPSMT" w:hAnsi="TimesNewRomanPSMT" w:eastAsia="TimesNewRomanPSMT" w:cs="TimesNewRomanPSMT"/>
          <w:color w:val="000000"/>
          <w:szCs w:val="24"/>
          <w:lang w:bidi="ar"/>
        </w:rPr>
        <w:t>耗时（单位：min）。</w:t>
      </w:r>
    </w:p>
    <w:p>
      <w:pPr>
        <w:autoSpaceDE w:val="0"/>
        <w:spacing w:line="360" w:lineRule="auto"/>
        <w:ind w:firstLine="480"/>
        <w:rPr>
          <w:rFonts w:ascii="TimesNewRomanPSMT" w:hAnsi="TimesNewRomanPSMT" w:cs="TimesNewRomanPSMT" w:eastAsiaTheme="minorEastAsia"/>
          <w:color w:val="000000"/>
          <w:szCs w:val="24"/>
        </w:rPr>
      </w:pPr>
      <w:r>
        <w:rPr>
          <w:rFonts w:ascii="TimesNewRomanPSMT" w:hAnsi="TimesNewRomanPSMT" w:eastAsia="TimesNewRomanPSMT" w:cs="TimesNewRomanPSMT"/>
          <w:color w:val="000000"/>
          <w:szCs w:val="24"/>
          <w:lang w:bidi="ar"/>
        </w:rPr>
        <w:t xml:space="preserve">d. </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4为加载沉降得分，</w:t>
      </w:r>
      <w:r>
        <w:rPr>
          <w:rFonts w:ascii="TimesNewRomanPSMT" w:hAnsi="TimesNewRomanPSMT" w:eastAsia="TimesNewRomanPSMT" w:cs="TimesNewRomanPSMT"/>
          <w:i/>
          <w:color w:val="000000"/>
          <w:szCs w:val="24"/>
          <w:lang w:bidi="ar"/>
        </w:rPr>
        <w:t>S</w:t>
      </w:r>
      <w:r>
        <w:rPr>
          <w:rFonts w:ascii="TimesNewRomanPSMT" w:hAnsi="TimesNewRomanPSMT" w:eastAsia="TimesNewRomanPSMT" w:cs="TimesNewRomanPSMT"/>
          <w:color w:val="000000"/>
          <w:szCs w:val="24"/>
          <w:lang w:bidi="ar"/>
        </w:rPr>
        <w:t>4=100-10×</w:t>
      </w:r>
      <w:r>
        <w:rPr>
          <w:rFonts w:ascii="TimesNewRomanPSMT" w:hAnsi="TimesNewRomanPSMT" w:eastAsia="TimesNewRomanPSMT" w:cs="TimesNewRomanPSMT"/>
          <w:i/>
          <w:color w:val="000000"/>
          <w:szCs w:val="24"/>
          <w:lang w:bidi="ar"/>
        </w:rPr>
        <w:t>δ</w:t>
      </w:r>
      <w:r>
        <w:rPr>
          <w:rFonts w:ascii="TimesNewRomanPSMT" w:hAnsi="TimesNewRomanPSMT" w:eastAsia="TimesNewRomanPSMT" w:cs="TimesNewRomanPSMT"/>
          <w:color w:val="000000"/>
          <w:szCs w:val="24"/>
          <w:lang w:bidi="ar"/>
        </w:rPr>
        <w:t>，</w:t>
      </w:r>
      <w:r>
        <w:rPr>
          <w:rFonts w:ascii="TimesNewRomanPSMT" w:hAnsi="TimesNewRomanPSMT" w:eastAsia="TimesNewRomanPSMT" w:cs="TimesNewRomanPSMT"/>
          <w:i/>
          <w:color w:val="000000"/>
          <w:szCs w:val="24"/>
          <w:lang w:bidi="ar"/>
        </w:rPr>
        <w:t>δ</w:t>
      </w:r>
      <w:r>
        <w:rPr>
          <w:rFonts w:ascii="TimesNewRomanPSMT" w:hAnsi="TimesNewRomanPSMT" w:eastAsia="TimesNewRomanPSMT" w:cs="TimesNewRomanPSMT"/>
          <w:color w:val="000000"/>
          <w:szCs w:val="24"/>
          <w:lang w:bidi="ar"/>
        </w:rPr>
        <w:t>为加载沉降量（单位：mm）；</w:t>
      </w:r>
    </w:p>
    <w:p>
      <w:pPr>
        <w:autoSpaceDE w:val="0"/>
        <w:spacing w:line="360" w:lineRule="auto"/>
        <w:ind w:firstLine="480"/>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(b) B档排序：对于加载失败的参赛队，</w:t>
      </w:r>
      <w:r>
        <w:rPr>
          <w:rFonts w:hint="eastAsia" w:ascii="TimesNewRomanPSMT" w:hAnsi="TimesNewRomanPSMT" w:eastAsia="TimesNewRomanPSMT" w:cs="TimesNewRomanPSMT"/>
          <w:color w:val="000000"/>
          <w:szCs w:val="24"/>
          <w:lang w:bidi="ar"/>
        </w:rPr>
        <w:t>取</w:t>
      </w:r>
      <w:r>
        <w:rPr>
          <w:rFonts w:ascii="TimesNewRomanPSMT" w:hAnsi="TimesNewRomanPSMT" w:eastAsia="TimesNewRomanPSMT" w:cs="TimesNewRomanPSMT"/>
          <w:color w:val="000000"/>
          <w:szCs w:val="24"/>
          <w:lang w:bidi="ar"/>
        </w:rPr>
        <w:t>加载失败时的前一级荷载为最终荷载，取对应最终荷载的位移为沉降量</w:t>
      </w:r>
      <w:r>
        <w:rPr>
          <w:rFonts w:hint="eastAsia" w:ascii="TimesNewRomanPSMT" w:hAnsi="TimesNewRomanPSMT" w:eastAsia="TimesNewRomanPSMT" w:cs="TimesNewRomanPSMT"/>
          <w:color w:val="000000"/>
          <w:szCs w:val="24"/>
          <w:lang w:bidi="ar"/>
        </w:rPr>
        <w:t>，计分方式同A档一致。</w:t>
      </w:r>
    </w:p>
    <w:p>
      <w:pPr>
        <w:autoSpaceDE w:val="0"/>
        <w:spacing w:line="360" w:lineRule="auto"/>
        <w:ind w:firstLine="480"/>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(c) C档内部排序规则：按设计报告得分排序。</w:t>
      </w:r>
    </w:p>
    <w:p>
      <w:pPr>
        <w:autoSpaceDE w:val="0"/>
        <w:spacing w:line="360" w:lineRule="auto"/>
        <w:ind w:firstLine="482"/>
        <w:rPr>
          <w:rFonts w:ascii="宋体" w:hAnsi="宋体" w:cs="宋体"/>
          <w:b/>
          <w:bCs/>
          <w:szCs w:val="24"/>
        </w:rPr>
      </w:pPr>
      <w:r>
        <w:rPr>
          <w:rStyle w:val="18"/>
          <w:rFonts w:hint="eastAsia" w:ascii="Times New Roman" w:hAnsi="Times New Roman" w:cs="Times New Roman"/>
          <w:b/>
          <w:bCs/>
        </w:rPr>
        <w:t>2</w:t>
      </w:r>
      <w:r>
        <w:rPr>
          <w:rStyle w:val="18"/>
          <w:rFonts w:ascii="Times New Roman" w:hAnsi="Times New Roman" w:cs="Times New Roman"/>
          <w:b/>
          <w:bCs/>
        </w:rPr>
        <w:t>．</w:t>
      </w:r>
      <w:r>
        <w:rPr>
          <w:rFonts w:ascii="TimesNewRomanPSMT" w:hAnsi="TimesNewRomanPSMT" w:eastAsia="TimesNewRomanPSMT" w:cs="TimesNewRomanPSMT"/>
          <w:b/>
          <w:bCs/>
          <w:color w:val="000000"/>
          <w:szCs w:val="24"/>
          <w:lang w:bidi="ar"/>
        </w:rPr>
        <w:t>如果对结果有争议或出现得分相同的情况， 则由评审小组投票决定得分和排序。 违反比赛规定和公平比赛精神的将由评审小组讨论后取消参赛资格或评比资格。</w:t>
      </w:r>
    </w:p>
    <w:p>
      <w:pPr>
        <w:widowControl/>
        <w:ind w:firstLine="0" w:firstLineChars="0"/>
        <w:jc w:val="left"/>
        <w:rPr>
          <w:rFonts w:ascii="宋体" w:hAnsi="宋体" w:cs="宋体"/>
          <w:b/>
          <w:bCs/>
          <w:color w:val="000000"/>
          <w:kern w:val="0"/>
          <w:sz w:val="32"/>
          <w:szCs w:val="32"/>
          <w:lang w:bidi="ar"/>
        </w:rPr>
      </w:pPr>
      <w:r>
        <w:rPr>
          <w:rFonts w:hint="eastAsia" w:ascii="宋体" w:hAnsi="宋体" w:cs="宋体"/>
          <w:b/>
          <w:bCs/>
          <w:color w:val="000000"/>
          <w:kern w:val="0"/>
          <w:sz w:val="32"/>
          <w:szCs w:val="32"/>
          <w:lang w:bidi="ar"/>
        </w:rPr>
        <w:t>八</w:t>
      </w:r>
      <w:r>
        <w:rPr>
          <w:rFonts w:ascii="宋体" w:hAnsi="宋体" w:cs="宋体"/>
          <w:b/>
          <w:bCs/>
          <w:color w:val="000000"/>
          <w:kern w:val="0"/>
          <w:sz w:val="32"/>
          <w:szCs w:val="32"/>
          <w:lang w:bidi="ar"/>
        </w:rPr>
        <w:t>、竞赛程序</w:t>
      </w:r>
    </w:p>
    <w:p>
      <w:pPr>
        <w:spacing w:line="360" w:lineRule="auto"/>
        <w:ind w:firstLine="480"/>
        <w:rPr>
          <w:color w:val="000000"/>
          <w:szCs w:val="24"/>
        </w:rPr>
      </w:pPr>
      <w:r>
        <w:rPr>
          <w:color w:val="000000"/>
          <w:szCs w:val="24"/>
        </w:rPr>
        <w:t>（1）各参赛队伍按照抽签号码，找到对应工作台，完成模型制作；</w:t>
      </w:r>
    </w:p>
    <w:p>
      <w:pPr>
        <w:spacing w:line="360" w:lineRule="auto"/>
        <w:ind w:firstLine="480"/>
        <w:rPr>
          <w:color w:val="000000"/>
          <w:szCs w:val="24"/>
        </w:rPr>
      </w:pPr>
      <w:r>
        <w:rPr>
          <w:color w:val="000000"/>
          <w:szCs w:val="24"/>
        </w:rPr>
        <w:t>（2）现场工作人员协助评审专家组完成对模型的尺寸校核及外观检查；</w:t>
      </w:r>
    </w:p>
    <w:p>
      <w:pPr>
        <w:spacing w:line="360" w:lineRule="auto"/>
        <w:ind w:firstLine="480"/>
        <w:rPr>
          <w:color w:val="000000"/>
          <w:szCs w:val="24"/>
        </w:rPr>
      </w:pPr>
      <w:r>
        <w:rPr>
          <w:color w:val="000000"/>
          <w:szCs w:val="24"/>
        </w:rPr>
        <w:t>（3）称量作品的质量，精确到0.1g；</w:t>
      </w:r>
    </w:p>
    <w:p>
      <w:pPr>
        <w:spacing w:line="360" w:lineRule="auto"/>
        <w:ind w:firstLine="480"/>
        <w:rPr>
          <w:color w:val="000000"/>
          <w:szCs w:val="24"/>
        </w:rPr>
      </w:pPr>
      <w:r>
        <w:rPr>
          <w:color w:val="000000"/>
          <w:szCs w:val="24"/>
        </w:rPr>
        <w:t>（4）当一个代表队比赛结束后，下一组便可进行模型安装；</w:t>
      </w:r>
    </w:p>
    <w:p>
      <w:pPr>
        <w:spacing w:line="360" w:lineRule="auto"/>
        <w:ind w:firstLine="480"/>
        <w:rPr>
          <w:color w:val="000000"/>
          <w:szCs w:val="24"/>
        </w:rPr>
      </w:pPr>
      <w:r>
        <w:rPr>
          <w:color w:val="000000"/>
          <w:szCs w:val="24"/>
        </w:rPr>
        <w:t>（5）模型安装现场检查合格后，方可进行分级加载</w:t>
      </w:r>
      <w:r>
        <w:rPr>
          <w:rFonts w:hint="eastAsia"/>
          <w:color w:val="000000"/>
          <w:szCs w:val="24"/>
        </w:rPr>
        <w:t>；</w:t>
      </w:r>
    </w:p>
    <w:p>
      <w:pPr>
        <w:spacing w:line="360" w:lineRule="auto"/>
        <w:ind w:firstLine="480"/>
        <w:rPr>
          <w:color w:val="000000"/>
          <w:szCs w:val="24"/>
        </w:rPr>
      </w:pPr>
      <w:r>
        <w:rPr>
          <w:color w:val="000000"/>
          <w:szCs w:val="24"/>
        </w:rPr>
        <w:t>（6）开始分级加载后，加载过程严格按前述加载要求进行</w:t>
      </w:r>
      <w:r>
        <w:rPr>
          <w:rFonts w:hint="eastAsia"/>
          <w:color w:val="000000"/>
          <w:szCs w:val="24"/>
        </w:rPr>
        <w:t>；</w:t>
      </w:r>
    </w:p>
    <w:p>
      <w:pPr>
        <w:spacing w:line="360" w:lineRule="auto"/>
        <w:ind w:firstLine="480"/>
        <w:rPr>
          <w:color w:val="000000"/>
          <w:szCs w:val="24"/>
        </w:rPr>
      </w:pPr>
      <w:r>
        <w:rPr>
          <w:color w:val="000000"/>
          <w:szCs w:val="24"/>
        </w:rPr>
        <w:t>（7）加载完毕后，向参赛代表队宣布加载质量，核对无误后，队长签字确认。</w:t>
      </w:r>
    </w:p>
    <w:p>
      <w:pPr>
        <w:widowControl/>
        <w:ind w:firstLine="0" w:firstLineChars="0"/>
        <w:jc w:val="left"/>
        <w:rPr>
          <w:rFonts w:ascii="宋体" w:hAnsi="宋体" w:cs="宋体"/>
          <w:b/>
          <w:bCs/>
          <w:color w:val="000000"/>
          <w:kern w:val="0"/>
          <w:sz w:val="32"/>
          <w:szCs w:val="32"/>
          <w:lang w:bidi="ar"/>
        </w:rPr>
      </w:pPr>
      <w:r>
        <w:rPr>
          <w:rFonts w:hint="eastAsia" w:ascii="宋体" w:hAnsi="宋体" w:cs="宋体"/>
          <w:b/>
          <w:bCs/>
          <w:color w:val="000000"/>
          <w:kern w:val="0"/>
          <w:sz w:val="32"/>
          <w:szCs w:val="32"/>
          <w:lang w:bidi="ar"/>
        </w:rPr>
        <w:t>九</w:t>
      </w:r>
      <w:r>
        <w:rPr>
          <w:rFonts w:ascii="宋体" w:hAnsi="宋体" w:cs="宋体"/>
          <w:b/>
          <w:bCs/>
          <w:color w:val="000000"/>
          <w:kern w:val="0"/>
          <w:sz w:val="32"/>
          <w:szCs w:val="32"/>
          <w:lang w:bidi="ar"/>
        </w:rPr>
        <w:t>、其他事宜</w:t>
      </w:r>
    </w:p>
    <w:p>
      <w:pPr>
        <w:spacing w:line="360" w:lineRule="auto"/>
        <w:ind w:firstLine="482"/>
        <w:rPr>
          <w:b/>
          <w:color w:val="000000"/>
          <w:szCs w:val="24"/>
        </w:rPr>
      </w:pPr>
      <w:r>
        <w:rPr>
          <w:b/>
          <w:color w:val="000000"/>
          <w:szCs w:val="24"/>
        </w:rPr>
        <w:t>1．赛前会议</w:t>
      </w:r>
    </w:p>
    <w:p>
      <w:pPr>
        <w:spacing w:line="360" w:lineRule="auto"/>
        <w:ind w:firstLine="480"/>
        <w:rPr>
          <w:color w:val="000000"/>
          <w:szCs w:val="24"/>
        </w:rPr>
      </w:pPr>
      <w:r>
        <w:rPr>
          <w:color w:val="000000"/>
          <w:szCs w:val="24"/>
        </w:rPr>
        <w:t>赛前会议将在正式比赛前一天召开，主要内容如下：按参赛队伍报名先后顺序由各参赛队代表随机抽取编号（该编号为模型制作期间座位号、作品编号及加载顺序号）、收集参赛代表队信息、熟悉场地和试验加载设备等。该会议每个参赛代表队队长必须出席（或指派特定人员），指导教师和代表队其他队员也可参加。具体的会议时间与地点参见会议手册，未签到的参赛代表队将取消参赛资格。</w:t>
      </w:r>
    </w:p>
    <w:p>
      <w:pPr>
        <w:spacing w:line="360" w:lineRule="auto"/>
        <w:ind w:firstLine="482"/>
        <w:rPr>
          <w:b/>
          <w:bCs/>
          <w:color w:val="000000"/>
          <w:szCs w:val="24"/>
        </w:rPr>
      </w:pPr>
      <w:r>
        <w:rPr>
          <w:b/>
          <w:bCs/>
          <w:color w:val="000000"/>
          <w:szCs w:val="24"/>
        </w:rPr>
        <w:t>2．奖项设置</w:t>
      </w:r>
    </w:p>
    <w:p>
      <w:pPr>
        <w:spacing w:line="360" w:lineRule="auto"/>
        <w:ind w:firstLine="480"/>
        <w:rPr>
          <w:color w:val="000000"/>
          <w:szCs w:val="24"/>
        </w:rPr>
      </w:pPr>
      <w:r>
        <w:rPr>
          <w:color w:val="000000"/>
          <w:szCs w:val="24"/>
        </w:rPr>
        <w:t>特等奖：决赛作品数量的5%；</w:t>
      </w:r>
    </w:p>
    <w:p>
      <w:pPr>
        <w:spacing w:line="360" w:lineRule="auto"/>
        <w:ind w:firstLine="480"/>
        <w:rPr>
          <w:color w:val="000000"/>
          <w:szCs w:val="24"/>
        </w:rPr>
      </w:pPr>
      <w:r>
        <w:rPr>
          <w:color w:val="000000"/>
          <w:szCs w:val="24"/>
        </w:rPr>
        <w:t>一等奖：决赛作品数量的10%；</w:t>
      </w:r>
    </w:p>
    <w:p>
      <w:pPr>
        <w:spacing w:line="360" w:lineRule="auto"/>
        <w:ind w:firstLine="480"/>
        <w:rPr>
          <w:color w:val="000000"/>
          <w:szCs w:val="24"/>
        </w:rPr>
      </w:pPr>
      <w:r>
        <w:rPr>
          <w:color w:val="000000"/>
          <w:szCs w:val="24"/>
        </w:rPr>
        <w:t>二等奖：决赛作品数量的20%；</w:t>
      </w:r>
    </w:p>
    <w:p>
      <w:pPr>
        <w:spacing w:line="360" w:lineRule="auto"/>
        <w:ind w:firstLine="480"/>
        <w:rPr>
          <w:color w:val="000000"/>
          <w:szCs w:val="24"/>
        </w:rPr>
      </w:pPr>
      <w:r>
        <w:rPr>
          <w:color w:val="000000"/>
          <w:szCs w:val="24"/>
        </w:rPr>
        <w:t>三等奖：决赛作品数量的35%；</w:t>
      </w:r>
    </w:p>
    <w:p>
      <w:pPr>
        <w:spacing w:line="360" w:lineRule="auto"/>
        <w:ind w:firstLine="480"/>
        <w:rPr>
          <w:color w:val="000000"/>
          <w:szCs w:val="24"/>
        </w:rPr>
      </w:pPr>
      <w:r>
        <w:rPr>
          <w:color w:val="000000"/>
          <w:szCs w:val="24"/>
        </w:rPr>
        <w:t>获奖证书均加盖中国岩石力学与工程学会公章。</w:t>
      </w:r>
    </w:p>
    <w:p>
      <w:pPr>
        <w:spacing w:line="360" w:lineRule="auto"/>
        <w:ind w:firstLine="482"/>
        <w:rPr>
          <w:b/>
          <w:bCs/>
          <w:color w:val="000000"/>
          <w:szCs w:val="24"/>
        </w:rPr>
      </w:pPr>
      <w:r>
        <w:rPr>
          <w:b/>
          <w:bCs/>
          <w:color w:val="000000"/>
          <w:szCs w:val="24"/>
        </w:rPr>
        <w:t>3.申诉与仲裁</w:t>
      </w:r>
    </w:p>
    <w:p>
      <w:pPr>
        <w:spacing w:line="360" w:lineRule="auto"/>
        <w:ind w:firstLine="480"/>
        <w:rPr>
          <w:color w:val="000000"/>
          <w:szCs w:val="24"/>
        </w:rPr>
      </w:pPr>
      <w:r>
        <w:rPr>
          <w:rFonts w:hint="eastAsia"/>
          <w:color w:val="000000"/>
          <w:szCs w:val="24"/>
        </w:rPr>
        <w:t>（</w:t>
      </w:r>
      <w:r>
        <w:rPr>
          <w:color w:val="000000"/>
          <w:szCs w:val="24"/>
        </w:rPr>
        <w:t>1）申诉</w:t>
      </w:r>
    </w:p>
    <w:p>
      <w:pPr>
        <w:numPr>
          <w:ilvl w:val="0"/>
          <w:numId w:val="8"/>
        </w:numPr>
        <w:spacing w:line="360" w:lineRule="auto"/>
        <w:ind w:left="0" w:firstLine="480"/>
        <w:rPr>
          <w:color w:val="000000"/>
          <w:szCs w:val="24"/>
        </w:rPr>
      </w:pPr>
      <w:r>
        <w:rPr>
          <w:color w:val="000000"/>
          <w:szCs w:val="24"/>
        </w:rPr>
        <w:t>对于不符合竞赛规定的事宜，有失公平的评判，以及工作人员的违规行为等，参赛队可向仲裁委员会提出申诉。</w:t>
      </w:r>
    </w:p>
    <w:p>
      <w:pPr>
        <w:numPr>
          <w:ilvl w:val="0"/>
          <w:numId w:val="8"/>
        </w:numPr>
        <w:spacing w:line="360" w:lineRule="auto"/>
        <w:ind w:left="0" w:firstLine="480"/>
        <w:rPr>
          <w:color w:val="000000"/>
          <w:szCs w:val="24"/>
        </w:rPr>
      </w:pPr>
      <w:r>
        <w:rPr>
          <w:color w:val="000000"/>
          <w:szCs w:val="24"/>
        </w:rPr>
        <w:t>申诉时，应递交由参赛队领队签字认可的书面报告，报告应对申诉事件的现象、发生的时间、涉及的人员、申诉依据与理由等进行实事求是的充分叙述。事实依据不充分或仅凭主观臆断的申诉不予受理。</w:t>
      </w:r>
    </w:p>
    <w:p>
      <w:pPr>
        <w:numPr>
          <w:ilvl w:val="0"/>
          <w:numId w:val="8"/>
        </w:numPr>
        <w:spacing w:line="360" w:lineRule="auto"/>
        <w:ind w:left="0" w:firstLine="480"/>
        <w:rPr>
          <w:color w:val="000000"/>
          <w:szCs w:val="24"/>
        </w:rPr>
      </w:pPr>
      <w:r>
        <w:rPr>
          <w:color w:val="000000"/>
          <w:szCs w:val="24"/>
        </w:rPr>
        <w:t>申诉时效，在当前轮次竞赛结束后半小时内提出，超过时效将不予受理。</w:t>
      </w:r>
    </w:p>
    <w:p>
      <w:pPr>
        <w:spacing w:line="360" w:lineRule="auto"/>
        <w:ind w:firstLine="480"/>
        <w:rPr>
          <w:color w:val="000000"/>
          <w:szCs w:val="24"/>
        </w:rPr>
      </w:pPr>
      <w:r>
        <w:rPr>
          <w:rFonts w:hint="eastAsia"/>
          <w:color w:val="000000"/>
          <w:szCs w:val="24"/>
        </w:rPr>
        <w:t>（</w:t>
      </w:r>
      <w:r>
        <w:rPr>
          <w:color w:val="000000"/>
          <w:szCs w:val="24"/>
        </w:rPr>
        <w:t>2）仲裁</w:t>
      </w:r>
    </w:p>
    <w:p>
      <w:pPr>
        <w:numPr>
          <w:ilvl w:val="0"/>
          <w:numId w:val="9"/>
        </w:numPr>
        <w:spacing w:line="360" w:lineRule="auto"/>
        <w:ind w:left="0" w:firstLine="480"/>
        <w:rPr>
          <w:color w:val="000000"/>
          <w:szCs w:val="24"/>
        </w:rPr>
      </w:pPr>
      <w:r>
        <w:rPr>
          <w:color w:val="000000"/>
          <w:szCs w:val="24"/>
        </w:rPr>
        <w:t>仲裁委员会负责受理竞赛中出现的所有申诉并进行仲裁，以保证竞赛顺利进行和结果公平、公正。</w:t>
      </w:r>
    </w:p>
    <w:p>
      <w:pPr>
        <w:numPr>
          <w:ilvl w:val="0"/>
          <w:numId w:val="9"/>
        </w:numPr>
        <w:spacing w:line="360" w:lineRule="auto"/>
        <w:ind w:left="0" w:firstLine="480"/>
        <w:rPr>
          <w:color w:val="000000"/>
          <w:szCs w:val="24"/>
        </w:rPr>
      </w:pPr>
      <w:r>
        <w:rPr>
          <w:color w:val="000000"/>
          <w:szCs w:val="24"/>
        </w:rPr>
        <w:t>仲裁委员会收到申诉报告后，根据申诉事由进行审查，半小时内书面通知申诉方，告知处理结果。</w:t>
      </w:r>
    </w:p>
    <w:p>
      <w:pPr>
        <w:numPr>
          <w:ilvl w:val="0"/>
          <w:numId w:val="9"/>
        </w:numPr>
        <w:spacing w:line="360" w:lineRule="auto"/>
        <w:ind w:left="0" w:firstLine="480"/>
        <w:rPr>
          <w:color w:val="000000"/>
          <w:szCs w:val="24"/>
        </w:rPr>
      </w:pPr>
      <w:r>
        <w:rPr>
          <w:color w:val="000000"/>
          <w:szCs w:val="24"/>
        </w:rPr>
        <w:t>仲裁委员会的裁决为最终裁决。</w:t>
      </w:r>
    </w:p>
    <w:p>
      <w:pPr>
        <w:spacing w:line="360" w:lineRule="auto"/>
        <w:ind w:firstLine="482"/>
        <w:rPr>
          <w:b/>
          <w:bCs/>
          <w:color w:val="000000"/>
          <w:szCs w:val="24"/>
        </w:rPr>
      </w:pPr>
      <w:r>
        <w:rPr>
          <w:b/>
          <w:bCs/>
          <w:color w:val="000000"/>
          <w:szCs w:val="24"/>
        </w:rPr>
        <w:t>4．参赛选手须知</w:t>
      </w:r>
    </w:p>
    <w:p>
      <w:pPr>
        <w:spacing w:line="360" w:lineRule="auto"/>
        <w:ind w:firstLine="480"/>
        <w:rPr>
          <w:color w:val="000000"/>
          <w:szCs w:val="24"/>
        </w:rPr>
      </w:pPr>
      <w:r>
        <w:rPr>
          <w:color w:val="000000"/>
          <w:szCs w:val="24"/>
        </w:rPr>
        <w:t>各参赛队发生以下情况之一者，将取消其竞赛资格或竞赛成绩。</w:t>
      </w:r>
    </w:p>
    <w:p>
      <w:pPr>
        <w:spacing w:line="360" w:lineRule="auto"/>
        <w:ind w:firstLine="480"/>
        <w:rPr>
          <w:color w:val="000000"/>
          <w:szCs w:val="24"/>
        </w:rPr>
      </w:pPr>
      <w:r>
        <w:rPr>
          <w:color w:val="000000"/>
          <w:szCs w:val="24"/>
        </w:rPr>
        <w:t>（1）参赛选手参加了两个及两个以上的代表队参加决赛；</w:t>
      </w:r>
    </w:p>
    <w:p>
      <w:pPr>
        <w:spacing w:line="360" w:lineRule="auto"/>
        <w:ind w:firstLine="480"/>
        <w:rPr>
          <w:color w:val="000000"/>
          <w:szCs w:val="24"/>
        </w:rPr>
      </w:pPr>
      <w:r>
        <w:rPr>
          <w:color w:val="000000"/>
          <w:szCs w:val="24"/>
        </w:rPr>
        <w:t>（2）临时换人或队员冒名顶替；</w:t>
      </w:r>
    </w:p>
    <w:p>
      <w:pPr>
        <w:spacing w:line="360" w:lineRule="auto"/>
        <w:ind w:firstLine="480"/>
        <w:rPr>
          <w:color w:val="000000"/>
          <w:szCs w:val="24"/>
        </w:rPr>
      </w:pPr>
      <w:r>
        <w:rPr>
          <w:color w:val="000000"/>
          <w:szCs w:val="24"/>
        </w:rPr>
        <w:t>（3）在模型设计说明书封面以外出现了任何有关参赛学校名称和个人真实姓名的信息；</w:t>
      </w:r>
    </w:p>
    <w:p>
      <w:pPr>
        <w:spacing w:line="360" w:lineRule="auto"/>
        <w:ind w:firstLine="480"/>
        <w:rPr>
          <w:color w:val="000000"/>
          <w:szCs w:val="24"/>
        </w:rPr>
      </w:pPr>
      <w:r>
        <w:rPr>
          <w:color w:val="000000"/>
          <w:szCs w:val="24"/>
        </w:rPr>
        <w:t>（4）参赛作品使用了比赛指定之外的材料；</w:t>
      </w:r>
    </w:p>
    <w:p>
      <w:pPr>
        <w:spacing w:line="360" w:lineRule="auto"/>
        <w:ind w:firstLine="480"/>
        <w:rPr>
          <w:color w:val="000000"/>
          <w:szCs w:val="24"/>
        </w:rPr>
      </w:pPr>
      <w:r>
        <w:rPr>
          <w:color w:val="000000"/>
          <w:szCs w:val="24"/>
        </w:rPr>
        <w:t>（5）参赛作品的尺寸不满足要求，且经过补救后仍不合要求的；</w:t>
      </w:r>
    </w:p>
    <w:p>
      <w:pPr>
        <w:spacing w:line="360" w:lineRule="auto"/>
        <w:ind w:firstLine="480"/>
        <w:rPr>
          <w:color w:val="000000"/>
          <w:szCs w:val="24"/>
        </w:rPr>
      </w:pPr>
      <w:r>
        <w:rPr>
          <w:color w:val="000000"/>
          <w:szCs w:val="24"/>
        </w:rPr>
        <w:t>（6）双</w:t>
      </w:r>
      <w:r>
        <w:rPr>
          <w:rFonts w:hint="eastAsia"/>
          <w:color w:val="000000"/>
          <w:szCs w:val="24"/>
        </w:rPr>
        <w:t>层地下空间</w:t>
      </w:r>
      <w:r>
        <w:rPr>
          <w:color w:val="000000"/>
          <w:szCs w:val="24"/>
        </w:rPr>
        <w:t>结构模型制作时间超过</w:t>
      </w:r>
      <w:r>
        <w:rPr>
          <w:rFonts w:hint="eastAsia"/>
          <w:color w:val="000000"/>
          <w:szCs w:val="24"/>
        </w:rPr>
        <w:t>270分钟</w:t>
      </w:r>
      <w:r>
        <w:rPr>
          <w:color w:val="000000"/>
          <w:szCs w:val="24"/>
        </w:rPr>
        <w:t>；</w:t>
      </w:r>
    </w:p>
    <w:p>
      <w:pPr>
        <w:spacing w:line="360" w:lineRule="auto"/>
        <w:ind w:firstLine="480"/>
        <w:rPr>
          <w:color w:val="000000"/>
          <w:szCs w:val="24"/>
        </w:rPr>
      </w:pPr>
      <w:r>
        <w:rPr>
          <w:color w:val="000000"/>
          <w:szCs w:val="24"/>
        </w:rPr>
        <w:t>（7）结构模型与模型箱内壁之间设置了任何形式的加固连接措施；</w:t>
      </w:r>
    </w:p>
    <w:p>
      <w:pPr>
        <w:spacing w:line="360" w:lineRule="auto"/>
        <w:ind w:firstLine="480"/>
        <w:rPr>
          <w:color w:val="000000"/>
          <w:szCs w:val="24"/>
        </w:rPr>
      </w:pPr>
      <w:r>
        <w:rPr>
          <w:color w:val="000000"/>
          <w:szCs w:val="24"/>
        </w:rPr>
        <w:t>（8）结构模型左右最外侧到两侧侧板距离小于</w:t>
      </w:r>
      <w:r>
        <w:rPr>
          <w:rFonts w:hint="eastAsia"/>
          <w:color w:val="000000"/>
          <w:szCs w:val="24"/>
        </w:rPr>
        <w:t>10</w:t>
      </w:r>
      <w:r>
        <w:rPr>
          <w:color w:val="000000"/>
          <w:szCs w:val="24"/>
        </w:rPr>
        <w:t>0mm，且补救后仍不满足要求的；</w:t>
      </w:r>
    </w:p>
    <w:p>
      <w:pPr>
        <w:spacing w:line="360" w:lineRule="auto"/>
        <w:ind w:firstLine="480"/>
        <w:rPr>
          <w:color w:val="000000"/>
          <w:szCs w:val="24"/>
        </w:rPr>
      </w:pPr>
      <w:r>
        <w:rPr>
          <w:color w:val="000000"/>
          <w:szCs w:val="24"/>
        </w:rPr>
        <w:t>（</w:t>
      </w:r>
      <w:r>
        <w:rPr>
          <w:rFonts w:hint="eastAsia"/>
          <w:color w:val="000000"/>
          <w:szCs w:val="24"/>
        </w:rPr>
        <w:t>9</w:t>
      </w:r>
      <w:r>
        <w:rPr>
          <w:color w:val="000000"/>
          <w:szCs w:val="24"/>
        </w:rPr>
        <w:t>）填埋砂土高度不符合要求；</w:t>
      </w:r>
    </w:p>
    <w:p>
      <w:pPr>
        <w:spacing w:line="360" w:lineRule="auto"/>
        <w:ind w:firstLine="480"/>
        <w:rPr>
          <w:color w:val="000000"/>
          <w:szCs w:val="24"/>
        </w:rPr>
      </w:pPr>
      <w:r>
        <w:rPr>
          <w:color w:val="000000"/>
          <w:szCs w:val="24"/>
        </w:rPr>
        <w:t>（1</w:t>
      </w:r>
      <w:r>
        <w:rPr>
          <w:rFonts w:hint="eastAsia"/>
          <w:color w:val="000000"/>
          <w:szCs w:val="24"/>
        </w:rPr>
        <w:t>0</w:t>
      </w:r>
      <w:r>
        <w:rPr>
          <w:color w:val="000000"/>
          <w:szCs w:val="24"/>
        </w:rPr>
        <w:t>）未按规定进行加载试验；</w:t>
      </w:r>
    </w:p>
    <w:p>
      <w:pPr>
        <w:spacing w:line="360" w:lineRule="auto"/>
        <w:ind w:firstLine="480"/>
        <w:rPr>
          <w:color w:val="000000"/>
          <w:szCs w:val="24"/>
        </w:rPr>
      </w:pPr>
      <w:r>
        <w:rPr>
          <w:color w:val="000000"/>
          <w:szCs w:val="24"/>
        </w:rPr>
        <w:t>（1</w:t>
      </w:r>
      <w:r>
        <w:rPr>
          <w:rFonts w:hint="eastAsia"/>
          <w:color w:val="000000"/>
          <w:szCs w:val="24"/>
        </w:rPr>
        <w:t>1</w:t>
      </w:r>
      <w:r>
        <w:rPr>
          <w:color w:val="000000"/>
          <w:szCs w:val="24"/>
        </w:rPr>
        <w:t>）经专家委员会或仲裁委员会认定的其它应取消竞赛资格或成绩。</w:t>
      </w:r>
    </w:p>
    <w:p>
      <w:pPr>
        <w:spacing w:line="360" w:lineRule="auto"/>
        <w:ind w:firstLine="482"/>
        <w:rPr>
          <w:b/>
          <w:bCs/>
          <w:color w:val="000000"/>
          <w:szCs w:val="24"/>
        </w:rPr>
      </w:pPr>
      <w:r>
        <w:rPr>
          <w:b/>
          <w:bCs/>
          <w:color w:val="000000"/>
          <w:szCs w:val="24"/>
        </w:rPr>
        <w:t>5. 知识产权</w:t>
      </w:r>
    </w:p>
    <w:p>
      <w:pPr>
        <w:spacing w:line="360" w:lineRule="auto"/>
        <w:ind w:firstLine="480"/>
        <w:rPr>
          <w:color w:val="000000"/>
          <w:szCs w:val="24"/>
        </w:rPr>
      </w:pPr>
      <w:r>
        <w:rPr>
          <w:color w:val="000000"/>
          <w:szCs w:val="24"/>
        </w:rPr>
        <w:t>（1）所有参赛作品必须为原创作品，不得存在任何知识产权纠纷或争议。</w:t>
      </w:r>
    </w:p>
    <w:p>
      <w:pPr>
        <w:spacing w:line="360" w:lineRule="auto"/>
        <w:ind w:firstLine="480"/>
        <w:rPr>
          <w:color w:val="000000"/>
          <w:szCs w:val="24"/>
        </w:rPr>
      </w:pPr>
      <w:r>
        <w:rPr>
          <w:color w:val="000000"/>
          <w:szCs w:val="24"/>
        </w:rPr>
        <w:t>（2）主办及承办单位对所有参赛作品有出版、发布、展览等权利。</w:t>
      </w:r>
    </w:p>
    <w:p>
      <w:pPr>
        <w:spacing w:line="360" w:lineRule="auto"/>
        <w:ind w:firstLine="482"/>
        <w:rPr>
          <w:b/>
          <w:bCs/>
          <w:color w:val="000000"/>
          <w:szCs w:val="24"/>
        </w:rPr>
      </w:pPr>
      <w:r>
        <w:rPr>
          <w:b/>
          <w:bCs/>
          <w:color w:val="000000"/>
          <w:szCs w:val="24"/>
        </w:rPr>
        <w:t>6. 竞赛安全</w:t>
      </w:r>
    </w:p>
    <w:p>
      <w:pPr>
        <w:spacing w:line="360" w:lineRule="auto"/>
        <w:ind w:firstLine="480"/>
        <w:rPr>
          <w:color w:val="000000"/>
          <w:szCs w:val="24"/>
        </w:rPr>
      </w:pPr>
      <w:r>
        <w:rPr>
          <w:color w:val="000000"/>
          <w:szCs w:val="24"/>
        </w:rPr>
        <w:t>（1）竞赛期间，各参赛队需按承办单位要求统一安排食宿，指导教师及队员外出须征得本校领队同意，并按时返回。</w:t>
      </w:r>
    </w:p>
    <w:p>
      <w:pPr>
        <w:spacing w:line="360" w:lineRule="auto"/>
        <w:ind w:firstLine="480"/>
        <w:rPr>
          <w:color w:val="000000"/>
          <w:szCs w:val="24"/>
        </w:rPr>
      </w:pPr>
      <w:r>
        <w:rPr>
          <w:color w:val="000000"/>
          <w:szCs w:val="24"/>
        </w:rPr>
        <w:t>（2）参赛队员比赛过程中须严格遵守相关操作规程，确保人身及设备安全。</w:t>
      </w:r>
    </w:p>
    <w:p>
      <w:pPr>
        <w:spacing w:line="360" w:lineRule="auto"/>
        <w:ind w:firstLine="480"/>
        <w:rPr>
          <w:color w:val="000000"/>
          <w:szCs w:val="24"/>
        </w:rPr>
      </w:pPr>
      <w:r>
        <w:rPr>
          <w:color w:val="000000"/>
          <w:szCs w:val="24"/>
        </w:rPr>
        <w:t>本次比赛最终解释权归承办方</w:t>
      </w:r>
      <w:r>
        <w:rPr>
          <w:rFonts w:hint="eastAsia"/>
          <w:color w:val="000000"/>
          <w:szCs w:val="24"/>
        </w:rPr>
        <w:t>广东工业大学</w:t>
      </w:r>
      <w:r>
        <w:rPr>
          <w:color w:val="000000"/>
          <w:szCs w:val="24"/>
        </w:rPr>
        <w:t>，其他未尽事宜可由竞赛评审委员会和仲裁委员会商议确定</w:t>
      </w:r>
      <w:r>
        <w:rPr>
          <w:rFonts w:hint="eastAsia"/>
          <w:color w:val="000000"/>
          <w:szCs w:val="24"/>
        </w:rPr>
        <w:t>。</w:t>
      </w:r>
    </w:p>
    <w:p>
      <w:pPr>
        <w:spacing w:line="312" w:lineRule="auto"/>
        <w:ind w:firstLine="556"/>
        <w:rPr>
          <w:rFonts w:ascii="黑体" w:hAnsi="黑体" w:eastAsia="黑体" w:cs="黑体"/>
          <w:spacing w:val="-1"/>
          <w:sz w:val="28"/>
          <w:szCs w:val="28"/>
        </w:rPr>
      </w:pPr>
      <w:r>
        <w:rPr>
          <w:rFonts w:hint="eastAsia" w:ascii="黑体" w:hAnsi="黑体" w:eastAsia="黑体" w:cs="黑体"/>
          <w:spacing w:val="-1"/>
          <w:sz w:val="28"/>
          <w:szCs w:val="28"/>
        </w:rPr>
        <w:t>十、联系方式</w:t>
      </w:r>
    </w:p>
    <w:p>
      <w:pPr>
        <w:spacing w:line="312" w:lineRule="auto"/>
        <w:ind w:firstLine="540"/>
        <w:rPr>
          <w:rFonts w:ascii="仿宋" w:hAnsi="仿宋" w:eastAsia="仿宋" w:cs="仿宋"/>
          <w:spacing w:val="-5"/>
          <w:sz w:val="28"/>
          <w:szCs w:val="28"/>
        </w:rPr>
      </w:pPr>
      <w:r>
        <w:rPr>
          <w:rFonts w:hint="eastAsia" w:ascii="仿宋" w:hAnsi="仿宋" w:eastAsia="仿宋" w:cs="仿宋"/>
          <w:spacing w:val="-5"/>
          <w:sz w:val="28"/>
          <w:szCs w:val="28"/>
        </w:rPr>
        <w:t>邮寄地址：广东工业大学土木与交通工程学院</w:t>
      </w:r>
    </w:p>
    <w:p>
      <w:pPr>
        <w:spacing w:line="312" w:lineRule="auto"/>
        <w:ind w:firstLine="540"/>
        <w:rPr>
          <w:rFonts w:ascii="仿宋" w:hAnsi="仿宋" w:eastAsia="仿宋" w:cs="仿宋"/>
          <w:spacing w:val="-5"/>
          <w:sz w:val="28"/>
          <w:szCs w:val="28"/>
        </w:rPr>
      </w:pPr>
      <w:r>
        <w:rPr>
          <w:rFonts w:hint="eastAsia" w:ascii="仿宋" w:hAnsi="仿宋" w:eastAsia="仿宋" w:cs="仿宋"/>
          <w:spacing w:val="-5"/>
          <w:sz w:val="28"/>
          <w:szCs w:val="28"/>
        </w:rPr>
        <w:t>广东省广州市番禺区外环西路</w:t>
      </w:r>
      <w:r>
        <w:rPr>
          <w:rFonts w:ascii="仿宋" w:hAnsi="仿宋" w:eastAsia="仿宋" w:cs="仿宋"/>
          <w:spacing w:val="-5"/>
          <w:sz w:val="28"/>
          <w:szCs w:val="28"/>
        </w:rPr>
        <w:t>100</w:t>
      </w:r>
      <w:r>
        <w:rPr>
          <w:rFonts w:hint="eastAsia" w:ascii="仿宋" w:hAnsi="仿宋" w:eastAsia="仿宋" w:cs="仿宋"/>
          <w:spacing w:val="-5"/>
          <w:sz w:val="28"/>
          <w:szCs w:val="28"/>
        </w:rPr>
        <w:t>号，邮编：</w:t>
      </w:r>
      <w:r>
        <w:rPr>
          <w:rFonts w:ascii="仿宋" w:hAnsi="仿宋" w:eastAsia="仿宋" w:cs="仿宋"/>
          <w:spacing w:val="-5"/>
          <w:sz w:val="28"/>
          <w:szCs w:val="28"/>
        </w:rPr>
        <w:t>510006</w:t>
      </w:r>
    </w:p>
    <w:p>
      <w:pPr>
        <w:spacing w:line="312" w:lineRule="auto"/>
        <w:ind w:firstLine="542"/>
        <w:rPr>
          <w:rFonts w:ascii="仿宋" w:hAnsi="仿宋" w:eastAsia="仿宋" w:cs="仿宋"/>
          <w:b/>
          <w:spacing w:val="-5"/>
          <w:sz w:val="28"/>
          <w:szCs w:val="28"/>
        </w:rPr>
      </w:pPr>
      <w:r>
        <w:rPr>
          <w:rFonts w:hint="eastAsia" w:ascii="仿宋" w:hAnsi="仿宋" w:eastAsia="仿宋" w:cs="仿宋"/>
          <w:b/>
          <w:spacing w:val="-5"/>
          <w:sz w:val="28"/>
          <w:szCs w:val="28"/>
        </w:rPr>
        <w:t>联系人及电话：</w:t>
      </w:r>
    </w:p>
    <w:p>
      <w:pPr>
        <w:spacing w:line="312" w:lineRule="auto"/>
        <w:ind w:firstLine="540"/>
        <w:rPr>
          <w:rFonts w:hint="eastAsia" w:ascii="仿宋" w:hAnsi="仿宋" w:eastAsia="仿宋" w:cs="仿宋"/>
          <w:spacing w:val="-5"/>
          <w:sz w:val="28"/>
          <w:szCs w:val="28"/>
        </w:rPr>
      </w:pPr>
      <w:r>
        <w:rPr>
          <w:rFonts w:hint="eastAsia" w:ascii="仿宋" w:hAnsi="仿宋" w:eastAsia="仿宋" w:cs="仿宋"/>
          <w:spacing w:val="-5"/>
          <w:sz w:val="28"/>
          <w:szCs w:val="28"/>
        </w:rPr>
        <w:t>罗庆姿 15800280504 (模型竞赛)</w:t>
      </w:r>
    </w:p>
    <w:p>
      <w:pPr>
        <w:spacing w:line="312" w:lineRule="auto"/>
        <w:ind w:firstLine="540"/>
        <w:rPr>
          <w:rFonts w:hint="eastAsia" w:ascii="仿宋" w:hAnsi="仿宋" w:eastAsia="仿宋" w:cs="仿宋"/>
          <w:spacing w:val="-5"/>
          <w:sz w:val="28"/>
          <w:szCs w:val="28"/>
        </w:rPr>
      </w:pPr>
      <w:r>
        <w:rPr>
          <w:rFonts w:hint="eastAsia" w:ascii="仿宋" w:hAnsi="仿宋" w:eastAsia="仿宋" w:cs="仿宋"/>
          <w:spacing w:val="-5"/>
          <w:sz w:val="28"/>
          <w:szCs w:val="28"/>
        </w:rPr>
        <w:t>模型竞赛专用邮箱：gdutmxjs@126.com</w:t>
      </w:r>
    </w:p>
    <w:p>
      <w:pPr>
        <w:spacing w:line="312" w:lineRule="auto"/>
        <w:ind w:firstLine="540"/>
        <w:rPr>
          <w:rFonts w:hint="eastAsia" w:ascii="仿宋" w:hAnsi="仿宋" w:eastAsia="仿宋" w:cs="仿宋"/>
          <w:spacing w:val="-5"/>
          <w:sz w:val="28"/>
          <w:szCs w:val="28"/>
        </w:rPr>
      </w:pPr>
      <w:r>
        <w:rPr>
          <w:rFonts w:hint="eastAsia" w:ascii="仿宋" w:hAnsi="仿宋" w:eastAsia="仿宋" w:cs="仿宋"/>
          <w:spacing w:val="-5"/>
          <w:sz w:val="28"/>
          <w:szCs w:val="28"/>
        </w:rPr>
        <w:t>秘书处邮箱：gdutyls123@126.com</w:t>
      </w:r>
    </w:p>
    <w:p>
      <w:pPr>
        <w:spacing w:line="360" w:lineRule="auto"/>
        <w:ind w:firstLine="480"/>
        <w:rPr>
          <w:color w:val="000000"/>
          <w:szCs w:val="24"/>
        </w:rPr>
      </w:pPr>
    </w:p>
    <w:p>
      <w:pPr>
        <w:spacing w:line="360" w:lineRule="auto"/>
        <w:ind w:firstLine="480"/>
        <w:rPr>
          <w:color w:val="000000"/>
          <w:szCs w:val="24"/>
        </w:rPr>
      </w:pPr>
    </w:p>
    <w:p>
      <w:pPr>
        <w:spacing w:line="360" w:lineRule="auto"/>
        <w:ind w:firstLine="480"/>
        <w:rPr>
          <w:color w:val="000000"/>
          <w:szCs w:val="24"/>
        </w:rPr>
      </w:pPr>
    </w:p>
    <w:p>
      <w:pPr>
        <w:widowControl/>
        <w:ind w:firstLine="0" w:firstLineChars="0"/>
        <w:jc w:val="left"/>
        <w:rPr>
          <w:color w:val="000000"/>
          <w:szCs w:val="24"/>
        </w:rPr>
      </w:pPr>
      <w:r>
        <w:rPr>
          <w:color w:val="000000"/>
          <w:szCs w:val="24"/>
        </w:rPr>
        <w:br w:type="page"/>
      </w:r>
    </w:p>
    <w:p>
      <w:pPr>
        <w:spacing w:line="360" w:lineRule="auto"/>
        <w:ind w:firstLine="480"/>
        <w:rPr>
          <w:color w:val="000000"/>
          <w:szCs w:val="24"/>
        </w:rPr>
      </w:pPr>
    </w:p>
    <w:p>
      <w:pPr>
        <w:widowControl/>
        <w:ind w:firstLine="0" w:firstLineChars="0"/>
        <w:jc w:val="center"/>
        <w:rPr>
          <w:rFonts w:ascii="宋体" w:hAnsi="宋体" w:cs="宋体"/>
          <w:color w:val="000000"/>
          <w:kern w:val="0"/>
          <w:sz w:val="28"/>
          <w:szCs w:val="28"/>
          <w:lang w:bidi="ar"/>
        </w:rPr>
      </w:pPr>
      <w:r>
        <w:rPr>
          <w:rFonts w:hint="eastAsia" w:ascii="宋体" w:hAnsi="宋体" w:cs="宋体"/>
          <w:color w:val="000000"/>
          <w:kern w:val="0"/>
          <w:sz w:val="28"/>
          <w:szCs w:val="28"/>
          <w:lang w:bidi="ar"/>
        </w:rPr>
        <w:t>附表1 材料购买链接</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8"/>
        <w:gridCol w:w="6638"/>
        <w:gridCol w:w="1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材料名称</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rFonts w:hint="eastAsia" w:ascii="宋体" w:hAnsi="宋体" w:cs="宋体"/>
                <w:color w:val="000000"/>
                <w:szCs w:val="24"/>
                <w:lang w:bidi="ar"/>
              </w:rPr>
              <w:t>购买链接</w:t>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rFonts w:hint="eastAsia" w:ascii="宋体" w:hAnsi="宋体" w:cs="宋体"/>
                <w:color w:val="000000"/>
                <w:szCs w:val="24"/>
                <w:lang w:bidi="ar"/>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标准砂（ISO）</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480"/>
              <w:jc w:val="left"/>
              <w:rPr>
                <w:color w:val="000000"/>
                <w:szCs w:val="24"/>
              </w:rPr>
            </w:pPr>
            <w:r>
              <w:fldChar w:fldCharType="begin"/>
            </w:r>
            <w:r>
              <w:instrText xml:space="preserve"> HYPERLINK "https://m.tb.cn/h.50UQyqV?tk=f2VodHHEms1" </w:instrText>
            </w:r>
            <w:r>
              <w:fldChar w:fldCharType="separate"/>
            </w:r>
            <w:r>
              <w:rPr>
                <w:rStyle w:val="11"/>
                <w:rFonts w:ascii="宋体" w:hAnsi="宋体" w:cs="宋体"/>
                <w:sz w:val="22"/>
              </w:rPr>
              <w:t xml:space="preserve">https://m.tb.cn/h.50UQyqV?tk=f2VodHHEms1CZ3457 </w:t>
            </w:r>
            <w:r>
              <w:rPr>
                <w:rStyle w:val="11"/>
                <w:rFonts w:ascii="宋体" w:hAnsi="宋体" w:cs="宋体"/>
                <w:sz w:val="22"/>
              </w:rPr>
              <w:fldChar w:fldCharType="end"/>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color w:val="000000"/>
                <w:szCs w:val="24"/>
                <w:lang w:bidi="ar"/>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全开荷兰白卡（230g）</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480"/>
              <w:jc w:val="left"/>
              <w:rPr>
                <w:color w:val="000000"/>
                <w:szCs w:val="24"/>
              </w:rPr>
            </w:pPr>
            <w:r>
              <w:fldChar w:fldCharType="begin"/>
            </w:r>
            <w:r>
              <w:instrText xml:space="preserve"> HYPERLINK "https://item.m.jd.com/product/10028449313880.html?gx=RnFkwTJcYDCPmdRP--sBBDLa4qIiJk8izRk&amp;ad_od=share&amp;utm_source=androidapp&amp;utm_medium=appshare&amp;utm_campaign=t_335139774&amp;utm_term=CopyURL" </w:instrText>
            </w:r>
            <w:r>
              <w:fldChar w:fldCharType="separate"/>
            </w:r>
            <w:r>
              <w:rPr>
                <w:rStyle w:val="12"/>
                <w:rFonts w:hint="eastAsia" w:ascii="宋体" w:hAnsi="宋体" w:cs="宋体"/>
                <w:sz w:val="22"/>
              </w:rPr>
              <w:t>https://item.m.jd.com/product/10028449313880.html?gx=RnFkwTJcYDCPmdRP--sBBDLa4qIiJk8izRk&amp;ad_od=share&amp;utm_source=androidapp&amp;utm_medium=appshare&amp;utm_campaign=t_335139774&amp;utm_term=CopyURL</w:t>
            </w:r>
            <w:r>
              <w:rPr>
                <w:rStyle w:val="12"/>
                <w:rFonts w:hint="eastAsia" w:ascii="宋体" w:hAnsi="宋体" w:cs="宋体"/>
                <w:sz w:val="22"/>
              </w:rPr>
              <w:fldChar w:fldCharType="end"/>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color w:val="000000"/>
                <w:szCs w:val="24"/>
                <w:lang w:bidi="ar"/>
              </w:rPr>
              <w:t>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白乳胶（</w:t>
            </w:r>
            <w:r>
              <w:rPr>
                <w:rFonts w:hint="eastAsia" w:ascii="宋体" w:hAnsi="宋体" w:cs="宋体"/>
                <w:color w:val="000000"/>
                <w:szCs w:val="24"/>
                <w:lang w:bidi="ar"/>
              </w:rPr>
              <w:t>得力</w:t>
            </w:r>
            <w:r>
              <w:rPr>
                <w:color w:val="000000"/>
                <w:szCs w:val="24"/>
                <w:lang w:bidi="ar"/>
              </w:rPr>
              <w:t>68602</w:t>
            </w:r>
            <w:r>
              <w:rPr>
                <w:rFonts w:hint="eastAsia" w:ascii="宋体" w:hAnsi="宋体" w:cs="宋体"/>
                <w:color w:val="000000"/>
                <w:szCs w:val="24"/>
                <w:lang w:bidi="ar"/>
              </w:rPr>
              <w:t>）</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480"/>
              <w:jc w:val="left"/>
              <w:rPr>
                <w:color w:val="000000"/>
                <w:szCs w:val="24"/>
              </w:rPr>
            </w:pPr>
            <w:r>
              <w:fldChar w:fldCharType="begin"/>
            </w:r>
            <w:r>
              <w:instrText xml:space="preserve"> HYPERLINK "https://item.m.jd.com/product/100018234212.html?gx=RnAomTM2Hm25nOtv7tgKHbcMNcuhWw&amp;gxd=RnAoxG9ePTzbyspH_tUhWimgVM4rd5A&amp;ad_od=share&amp;utm_source=androidapp&amp;utm_medium=appshare&amp;utm_campaign=t_335139774&amp;utm_term=CopyURL" </w:instrText>
            </w:r>
            <w:r>
              <w:fldChar w:fldCharType="separate"/>
            </w:r>
            <w:r>
              <w:rPr>
                <w:rStyle w:val="12"/>
                <w:rFonts w:hint="eastAsia" w:ascii="宋体" w:hAnsi="宋体" w:cs="宋体"/>
                <w:sz w:val="22"/>
              </w:rPr>
              <w:t>https://item.m.jd.com/product/100018234212.html?gx=RnAomTM2Hm25nOtv7tgKHbcMNcuhWw&amp;gxd=RnAoxG9ePTzbyspH_tUhWimgVM4rd5A&amp;ad_od=share&amp;utm_source=androidapp&amp;utm_medium=appshare&amp;utm_campaign=t_335139774&amp;utm_term=CopyURL</w:t>
            </w:r>
            <w:r>
              <w:rPr>
                <w:rStyle w:val="12"/>
                <w:rFonts w:hint="eastAsia" w:ascii="宋体" w:hAnsi="宋体" w:cs="宋体"/>
                <w:sz w:val="22"/>
              </w:rPr>
              <w:fldChar w:fldCharType="end"/>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color w:val="000000"/>
                <w:szCs w:val="24"/>
                <w:lang w:bidi="ar"/>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TimesNewRomanPSMT" w:hAnsi="TimesNewRomanPSMT" w:eastAsia="TimesNewRomanPSMT" w:cs="TimesNewRomanPSMT"/>
                <w:color w:val="000000"/>
                <w:szCs w:val="24"/>
              </w:rPr>
            </w:pPr>
            <w:r>
              <w:rPr>
                <w:rFonts w:ascii="TimesNewRomanPSMT" w:hAnsi="TimesNewRomanPSMT" w:eastAsia="TimesNewRomanPSMT" w:cs="TimesNewRomanPSMT"/>
                <w:color w:val="000000"/>
                <w:szCs w:val="24"/>
                <w:lang w:bidi="ar"/>
              </w:rPr>
              <w:t>刷子（2寸）</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480"/>
              <w:jc w:val="left"/>
              <w:rPr>
                <w:color w:val="000000"/>
                <w:szCs w:val="24"/>
              </w:rPr>
            </w:pPr>
            <w:r>
              <w:fldChar w:fldCharType="begin"/>
            </w:r>
            <w:r>
              <w:instrText xml:space="preserve"> HYPERLINK "https://item.m.jd.com/product/10023606511279.html?gx=RnFkwTJcYDCPmdRP--sBBDLa4qIiJk8izRk&amp;ad_od=share&amp;utm_source=androidapp&amp;utm_medium=appshare&amp;utm_campaign=t_335139774&amp;utm_term=CopyURL" </w:instrText>
            </w:r>
            <w:r>
              <w:fldChar w:fldCharType="separate"/>
            </w:r>
            <w:r>
              <w:rPr>
                <w:rStyle w:val="12"/>
                <w:rFonts w:hint="eastAsia" w:ascii="宋体" w:hAnsi="宋体" w:cs="宋体"/>
                <w:kern w:val="0"/>
                <w:sz w:val="22"/>
              </w:rPr>
              <w:t>https://item.m.jd.com/product/10023606511279.html?gx=RnFkwTJcYDCPmdRP--sBBDLa4qIiJk8izRk&amp;ad_od=share&amp;utm_source=androidapp&amp;utm_medium=appshare&amp;utm_campaign=t_335139774&amp;utm_term=CopyURL</w:t>
            </w:r>
            <w:r>
              <w:rPr>
                <w:rStyle w:val="12"/>
                <w:rFonts w:hint="eastAsia" w:ascii="宋体" w:hAnsi="宋体" w:cs="宋体"/>
                <w:kern w:val="0"/>
                <w:sz w:val="22"/>
              </w:rPr>
              <w:fldChar w:fldCharType="end"/>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color w:val="000000"/>
                <w:szCs w:val="24"/>
                <w:lang w:bidi="ar"/>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TimesNewRomanPSMT" w:hAnsi="TimesNewRomanPSMT" w:cs="TimesNewRomanPSMT"/>
                <w:color w:val="000000"/>
                <w:szCs w:val="24"/>
              </w:rPr>
            </w:pPr>
            <w:r>
              <w:rPr>
                <w:rFonts w:hint="eastAsia" w:ascii="宋体" w:hAnsi="宋体" w:cs="宋体"/>
                <w:color w:val="000000"/>
                <w:szCs w:val="24"/>
                <w:lang w:bidi="ar"/>
              </w:rPr>
              <w:t>剪刀（</w:t>
            </w:r>
            <w:r>
              <w:rPr>
                <w:rFonts w:ascii="TimesNewRomanPSMT" w:hAnsi="TimesNewRomanPSMT" w:eastAsia="TimesNewRomanPSMT" w:cs="TimesNewRomanPSMT"/>
                <w:color w:val="000000"/>
                <w:szCs w:val="24"/>
                <w:lang w:bidi="ar"/>
              </w:rPr>
              <w:t>160mm</w:t>
            </w:r>
            <w:r>
              <w:rPr>
                <w:rFonts w:hint="eastAsia" w:ascii="宋体" w:hAnsi="宋体" w:cs="宋体"/>
                <w:color w:val="000000"/>
                <w:szCs w:val="24"/>
                <w:lang w:bidi="ar"/>
              </w:rPr>
              <w:t>）</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480"/>
              <w:rPr>
                <w:color w:val="000000"/>
                <w:szCs w:val="24"/>
              </w:rPr>
            </w:pPr>
            <w:r>
              <w:fldChar w:fldCharType="begin"/>
            </w:r>
            <w:r>
              <w:instrText xml:space="preserve"> HYPERLINK "https://item.m.jd.com/product/100011617340.html?gx=RnAomTM2Hm25nOtv7tgKHbcMNcuhWw&amp;gxd=RnAoxG9ePTzbyspH_tUhWimgVM4rd5A&amp;ad_od=share&amp;utm_source=androidapp&amp;utm_medium=appshare&amp;utm_campaign=t_335139774&amp;utm_term=CopyURL" </w:instrText>
            </w:r>
            <w:r>
              <w:fldChar w:fldCharType="separate"/>
            </w:r>
            <w:r>
              <w:rPr>
                <w:rStyle w:val="12"/>
                <w:rFonts w:hint="eastAsia" w:ascii="宋体" w:hAnsi="宋体" w:cs="宋体"/>
                <w:sz w:val="22"/>
              </w:rPr>
              <w:t>https://item.m.jd.com/product/100011617340.html?gx=RnAomTM2Hm25nOtv7tgKHbcMNcuhWw&amp;gxd=RnAoxG9ePTzbyspH_tUhWimgVM4rd5A&amp;ad_od=share&amp;utm_source=androidapp&amp;utm_medium=appshare&amp;utm_campaign=t_335139774&amp;utm_term=CopyURL</w:t>
            </w:r>
            <w:r>
              <w:rPr>
                <w:rStyle w:val="12"/>
                <w:rFonts w:hint="eastAsia" w:ascii="宋体" w:hAnsi="宋体" w:cs="宋体"/>
                <w:sz w:val="22"/>
              </w:rPr>
              <w:fldChar w:fldCharType="end"/>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color w:val="000000"/>
                <w:szCs w:val="24"/>
                <w:lang w:bidi="ar"/>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TimesNewRomanPSMT" w:hAnsi="TimesNewRomanPSMT" w:cs="TimesNewRomanPSMT"/>
                <w:color w:val="000000"/>
                <w:szCs w:val="24"/>
              </w:rPr>
            </w:pPr>
            <w:r>
              <w:rPr>
                <w:rFonts w:hint="eastAsia" w:ascii="宋体" w:hAnsi="宋体" w:cs="宋体"/>
                <w:color w:val="000000"/>
                <w:szCs w:val="24"/>
                <w:lang w:bidi="ar"/>
              </w:rPr>
              <w:t>得力美工刀（</w:t>
            </w:r>
            <w:r>
              <w:rPr>
                <w:rFonts w:ascii="TimesNewRomanPSMT" w:hAnsi="TimesNewRomanPSMT" w:eastAsia="TimesNewRomanPSMT" w:cs="TimesNewRomanPSMT"/>
                <w:color w:val="000000"/>
                <w:szCs w:val="24"/>
                <w:lang w:bidi="ar"/>
              </w:rPr>
              <w:t>18mm</w:t>
            </w:r>
            <w:r>
              <w:rPr>
                <w:rFonts w:hint="eastAsia" w:ascii="宋体" w:hAnsi="宋体" w:cs="宋体"/>
                <w:color w:val="000000"/>
                <w:szCs w:val="24"/>
                <w:lang w:bidi="ar"/>
              </w:rPr>
              <w:t>）</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480"/>
              <w:rPr>
                <w:rFonts w:ascii="宋体" w:hAnsi="宋体" w:cs="宋体"/>
                <w:color w:val="0000FF"/>
                <w:sz w:val="22"/>
                <w:u w:val="single"/>
              </w:rPr>
            </w:pPr>
            <w:r>
              <w:fldChar w:fldCharType="begin"/>
            </w:r>
            <w:r>
              <w:instrText xml:space="preserve"> HYPERLINK "https://item.m.jd.com/product/10024628694447.html?gx=RnAomTM2Hm25nOtv7tgKHbcMNcuhWw&amp;gxd=RnAoxG9ePTzbyspH_tUhWimgVM4rd5A&amp;ad_od=share&amp;utm_source=androidapp&amp;utm_medium=appshare&amp;utm_campaign=t_335139774&amp;utm_term=CopyURL" </w:instrText>
            </w:r>
            <w:r>
              <w:fldChar w:fldCharType="separate"/>
            </w:r>
            <w:r>
              <w:rPr>
                <w:rStyle w:val="12"/>
                <w:rFonts w:hint="eastAsia" w:ascii="宋体" w:hAnsi="宋体" w:cs="宋体"/>
                <w:sz w:val="22"/>
              </w:rPr>
              <w:t>https://item.m.jd.com/product/10024628694447.html?gx=RnAomTM2Hm25nOtv7tgKHbcMNcuhWw&amp;gxd=RnAoxG9ePTzbyspH_tUhWimgVM4rd5A&amp;ad_od=share&amp;utm_source=androidapp&amp;utm_medium=appshare&amp;utm_campaign=t_335139774&amp;utm_term=CopyURL</w:t>
            </w:r>
            <w:r>
              <w:rPr>
                <w:rStyle w:val="12"/>
                <w:rFonts w:hint="eastAsia" w:ascii="宋体" w:hAnsi="宋体" w:cs="宋体"/>
                <w:sz w:val="22"/>
              </w:rPr>
              <w:fldChar w:fldCharType="end"/>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rPr>
            </w:pPr>
            <w:r>
              <w:rPr>
                <w:color w:val="000000"/>
                <w:szCs w:val="24"/>
                <w:lang w:bidi="ar"/>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6"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spacing w:line="360" w:lineRule="auto"/>
              <w:ind w:firstLine="0" w:firstLineChars="0"/>
              <w:jc w:val="center"/>
              <w:rPr>
                <w:rFonts w:ascii="宋体" w:hAnsi="宋体" w:cs="宋体"/>
                <w:color w:val="000000"/>
                <w:szCs w:val="24"/>
                <w:lang w:bidi="ar"/>
              </w:rPr>
            </w:pPr>
            <w:r>
              <w:rPr>
                <w:color w:val="000000"/>
                <w:szCs w:val="24"/>
              </w:rPr>
              <w:t>双面胶带</w:t>
            </w:r>
            <w:r>
              <w:rPr>
                <w:rFonts w:hint="eastAsia"/>
                <w:color w:val="000000"/>
                <w:szCs w:val="24"/>
              </w:rPr>
              <w:t>（得力30402）</w:t>
            </w:r>
          </w:p>
        </w:tc>
        <w:tc>
          <w:tcPr>
            <w:tcW w:w="3467"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480"/>
              <w:rPr>
                <w:rFonts w:ascii="宋体" w:hAnsi="宋体" w:cs="宋体"/>
                <w:sz w:val="22"/>
                <w:u w:val="single"/>
                <w:lang w:bidi="ar"/>
              </w:rPr>
            </w:pPr>
            <w:r>
              <w:fldChar w:fldCharType="begin"/>
            </w:r>
            <w:r>
              <w:instrText xml:space="preserve"> HYPERLINK "https://item.m.jd.com/product/100043849969.html?gx=RnAomTM2Hm25nOtv7tgKHbcMNcuhWw&amp;gxd=RnAoxG9ePTzbyspH_tUhWimgVM4rd5A&amp;ad_od=share&amp;utm_source=androidapp&amp;utm_medium=appshare&amp;utm_campaign=t_335139774&amp;utm_term=CopyURL" </w:instrText>
            </w:r>
            <w:r>
              <w:fldChar w:fldCharType="separate"/>
            </w:r>
            <w:r>
              <w:rPr>
                <w:rStyle w:val="12"/>
                <w:rFonts w:hint="eastAsia" w:ascii="宋体" w:hAnsi="宋体" w:cs="宋体"/>
                <w:sz w:val="22"/>
                <w:lang w:bidi="ar"/>
              </w:rPr>
              <w:t>https://item.m.jd.com/product/100043849969.html?gx=RnAomTM2Hm25nOtv7tgKHbcMNcuhWw&amp;gxd=RnAoxG9ePTzbyspH_tUhWimgVM4rd5A&amp;ad_od=share&amp;utm_source=androidapp&amp;utm_medium=appshare&amp;utm_campaign=t_335139774&amp;utm_term=CopyURL</w:t>
            </w:r>
            <w:r>
              <w:rPr>
                <w:rStyle w:val="12"/>
                <w:rFonts w:hint="eastAsia" w:ascii="宋体" w:hAnsi="宋体" w:cs="宋体"/>
                <w:sz w:val="22"/>
                <w:lang w:bidi="ar"/>
              </w:rPr>
              <w:fldChar w:fldCharType="end"/>
            </w:r>
          </w:p>
        </w:tc>
        <w:tc>
          <w:tcPr>
            <w:tcW w:w="546" w:type="pct"/>
            <w:tcBorders>
              <w:top w:val="single" w:color="auto" w:sz="4" w:space="0"/>
              <w:left w:val="nil"/>
              <w:bottom w:val="single" w:color="auto" w:sz="4" w:space="0"/>
              <w:right w:val="single" w:color="auto" w:sz="4" w:space="0"/>
            </w:tcBorders>
            <w:shd w:val="clear" w:color="auto" w:fill="auto"/>
            <w:vAlign w:val="center"/>
          </w:tcPr>
          <w:p>
            <w:pPr>
              <w:autoSpaceDE w:val="0"/>
              <w:spacing w:line="360" w:lineRule="auto"/>
              <w:ind w:firstLine="0" w:firstLineChars="0"/>
              <w:jc w:val="center"/>
              <w:rPr>
                <w:color w:val="000000"/>
                <w:szCs w:val="24"/>
                <w:lang w:bidi="ar"/>
              </w:rPr>
            </w:pPr>
            <w:r>
              <w:rPr>
                <w:rFonts w:hint="eastAsia"/>
                <w:color w:val="000000"/>
                <w:szCs w:val="24"/>
                <w:lang w:bidi="ar"/>
              </w:rPr>
              <w:t>8.9</w:t>
            </w:r>
          </w:p>
        </w:tc>
      </w:tr>
    </w:tbl>
    <w:p>
      <w:pPr>
        <w:spacing w:line="360" w:lineRule="auto"/>
        <w:ind w:firstLine="0" w:firstLineChars="0"/>
        <w:rPr>
          <w:color w:val="000000"/>
          <w:szCs w:val="24"/>
        </w:rPr>
        <w:sectPr>
          <w:headerReference r:id="rId7" w:type="first"/>
          <w:footerReference r:id="rId10" w:type="first"/>
          <w:headerReference r:id="rId5" w:type="default"/>
          <w:footerReference r:id="rId8" w:type="default"/>
          <w:headerReference r:id="rId6" w:type="even"/>
          <w:footerReference r:id="rId9" w:type="even"/>
          <w:pgSz w:w="11906" w:h="16838"/>
          <w:pgMar w:top="1417" w:right="1134" w:bottom="1417" w:left="1417" w:header="851" w:footer="992" w:gutter="0"/>
          <w:cols w:space="425" w:num="1"/>
          <w:docGrid w:type="lines" w:linePitch="312" w:charSpace="0"/>
        </w:sectPr>
      </w:pPr>
    </w:p>
    <w:p>
      <w:pPr>
        <w:widowControl/>
        <w:ind w:firstLine="0" w:firstLineChars="0"/>
        <w:jc w:val="center"/>
      </w:pPr>
      <w:r>
        <w:rPr>
          <w:rFonts w:hint="eastAsia" w:ascii="宋体" w:hAnsi="宋体" w:cs="宋体"/>
          <w:color w:val="000000"/>
          <w:kern w:val="0"/>
          <w:sz w:val="28"/>
          <w:szCs w:val="28"/>
          <w:lang w:bidi="ar"/>
        </w:rPr>
        <w:t>附表</w:t>
      </w:r>
      <w:r>
        <w:rPr>
          <w:color w:val="000000"/>
          <w:kern w:val="0"/>
          <w:sz w:val="28"/>
          <w:szCs w:val="28"/>
          <w:lang w:bidi="ar"/>
        </w:rPr>
        <w:t>2</w:t>
      </w:r>
      <w:r>
        <w:rPr>
          <w:rFonts w:hint="eastAsia" w:ascii="宋体" w:hAnsi="宋体" w:cs="宋体"/>
          <w:color w:val="000000"/>
          <w:kern w:val="0"/>
          <w:sz w:val="28"/>
          <w:szCs w:val="28"/>
          <w:lang w:bidi="ar"/>
        </w:rPr>
        <w:t xml:space="preserve">   第七届全国城市地下空间工程专业大学生模型设计竞赛参赛报名表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7"/>
        <w:gridCol w:w="1584"/>
        <w:gridCol w:w="1572"/>
        <w:gridCol w:w="1056"/>
        <w:gridCol w:w="3168"/>
        <w:gridCol w:w="2651"/>
        <w:gridCol w:w="2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Align w:val="center"/>
          </w:tcPr>
          <w:p>
            <w:pPr>
              <w:spacing w:line="360" w:lineRule="auto"/>
              <w:ind w:firstLine="0" w:firstLineChars="0"/>
              <w:jc w:val="center"/>
              <w:rPr>
                <w:color w:val="000000"/>
                <w:szCs w:val="24"/>
              </w:rPr>
            </w:pPr>
            <w:r>
              <w:rPr>
                <w:rFonts w:hint="eastAsia"/>
                <w:color w:val="000000"/>
                <w:szCs w:val="24"/>
              </w:rPr>
              <w:t>学校名称</w:t>
            </w:r>
          </w:p>
        </w:tc>
        <w:tc>
          <w:tcPr>
            <w:tcW w:w="4212" w:type="dxa"/>
            <w:gridSpan w:val="3"/>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r>
              <w:rPr>
                <w:rFonts w:hint="eastAsia"/>
                <w:color w:val="000000"/>
                <w:szCs w:val="24"/>
              </w:rPr>
              <w:t>学院名称</w:t>
            </w:r>
          </w:p>
        </w:tc>
        <w:tc>
          <w:tcPr>
            <w:tcW w:w="5303" w:type="dxa"/>
            <w:gridSpan w:val="2"/>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93" w:type="dxa"/>
            <w:gridSpan w:val="3"/>
            <w:vAlign w:val="center"/>
          </w:tcPr>
          <w:p>
            <w:pPr>
              <w:spacing w:line="360" w:lineRule="auto"/>
              <w:ind w:firstLine="0" w:firstLineChars="0"/>
              <w:jc w:val="center"/>
              <w:rPr>
                <w:color w:val="000000"/>
                <w:szCs w:val="24"/>
              </w:rPr>
            </w:pPr>
            <w:r>
              <w:rPr>
                <w:rFonts w:hint="eastAsia"/>
                <w:color w:val="000000"/>
                <w:szCs w:val="24"/>
              </w:rPr>
              <w:t>姓名</w:t>
            </w:r>
          </w:p>
        </w:tc>
        <w:tc>
          <w:tcPr>
            <w:tcW w:w="1056" w:type="dxa"/>
            <w:vAlign w:val="center"/>
          </w:tcPr>
          <w:p>
            <w:pPr>
              <w:spacing w:line="360" w:lineRule="auto"/>
              <w:ind w:firstLine="0" w:firstLineChars="0"/>
              <w:jc w:val="center"/>
              <w:rPr>
                <w:color w:val="000000"/>
                <w:szCs w:val="24"/>
              </w:rPr>
            </w:pPr>
            <w:r>
              <w:rPr>
                <w:rFonts w:hint="eastAsia"/>
                <w:color w:val="000000"/>
                <w:szCs w:val="24"/>
              </w:rPr>
              <w:t>性别</w:t>
            </w:r>
          </w:p>
        </w:tc>
        <w:tc>
          <w:tcPr>
            <w:tcW w:w="3168" w:type="dxa"/>
            <w:vAlign w:val="center"/>
          </w:tcPr>
          <w:p>
            <w:pPr>
              <w:spacing w:line="360" w:lineRule="auto"/>
              <w:ind w:firstLine="0" w:firstLineChars="0"/>
              <w:jc w:val="center"/>
              <w:rPr>
                <w:color w:val="000000"/>
                <w:szCs w:val="24"/>
              </w:rPr>
            </w:pPr>
            <w:r>
              <w:rPr>
                <w:rFonts w:hint="eastAsia"/>
                <w:color w:val="000000"/>
                <w:szCs w:val="24"/>
              </w:rPr>
              <w:t>教师职称/学生专业班级</w:t>
            </w:r>
          </w:p>
        </w:tc>
        <w:tc>
          <w:tcPr>
            <w:tcW w:w="2651" w:type="dxa"/>
            <w:vAlign w:val="center"/>
          </w:tcPr>
          <w:p>
            <w:pPr>
              <w:spacing w:line="360" w:lineRule="auto"/>
              <w:ind w:firstLine="0" w:firstLineChars="0"/>
              <w:jc w:val="center"/>
              <w:rPr>
                <w:color w:val="000000"/>
                <w:szCs w:val="24"/>
              </w:rPr>
            </w:pPr>
            <w:r>
              <w:rPr>
                <w:rFonts w:hint="eastAsia"/>
                <w:color w:val="000000"/>
                <w:szCs w:val="24"/>
              </w:rPr>
              <w:t>联系电话</w:t>
            </w:r>
          </w:p>
        </w:tc>
        <w:tc>
          <w:tcPr>
            <w:tcW w:w="2652" w:type="dxa"/>
            <w:vAlign w:val="center"/>
          </w:tcPr>
          <w:p>
            <w:pPr>
              <w:spacing w:line="360" w:lineRule="auto"/>
              <w:ind w:firstLine="0" w:firstLineChars="0"/>
              <w:jc w:val="center"/>
              <w:rPr>
                <w:color w:val="000000"/>
                <w:szCs w:val="24"/>
              </w:rPr>
            </w:pPr>
            <w:r>
              <w:rPr>
                <w:rFonts w:hint="eastAsia"/>
                <w:color w:val="000000"/>
                <w:szCs w:val="24"/>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restart"/>
            <w:vAlign w:val="center"/>
          </w:tcPr>
          <w:p>
            <w:pPr>
              <w:spacing w:line="360" w:lineRule="auto"/>
              <w:ind w:firstLine="0" w:firstLineChars="0"/>
              <w:jc w:val="center"/>
              <w:rPr>
                <w:color w:val="000000"/>
                <w:szCs w:val="24"/>
              </w:rPr>
            </w:pPr>
            <w:r>
              <w:rPr>
                <w:rFonts w:hint="eastAsia"/>
                <w:color w:val="000000"/>
                <w:szCs w:val="24"/>
              </w:rPr>
              <w:t>第一代表队</w:t>
            </w:r>
          </w:p>
        </w:tc>
        <w:tc>
          <w:tcPr>
            <w:tcW w:w="1584" w:type="dxa"/>
            <w:vAlign w:val="center"/>
          </w:tcPr>
          <w:p>
            <w:pPr>
              <w:spacing w:line="360" w:lineRule="auto"/>
              <w:ind w:firstLine="0" w:firstLineChars="0"/>
              <w:jc w:val="center"/>
              <w:rPr>
                <w:color w:val="000000"/>
                <w:szCs w:val="24"/>
              </w:rPr>
            </w:pPr>
            <w:r>
              <w:rPr>
                <w:rFonts w:hint="eastAsia"/>
                <w:color w:val="000000"/>
                <w:szCs w:val="24"/>
              </w:rPr>
              <w:t>指导老师</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continue"/>
            <w:vAlign w:val="center"/>
          </w:tcPr>
          <w:p>
            <w:pPr>
              <w:spacing w:line="360" w:lineRule="auto"/>
              <w:ind w:firstLine="0" w:firstLineChars="0"/>
              <w:jc w:val="center"/>
              <w:rPr>
                <w:color w:val="000000"/>
                <w:szCs w:val="24"/>
              </w:rPr>
            </w:pPr>
          </w:p>
        </w:tc>
        <w:tc>
          <w:tcPr>
            <w:tcW w:w="1584" w:type="dxa"/>
            <w:vAlign w:val="center"/>
          </w:tcPr>
          <w:p>
            <w:pPr>
              <w:spacing w:line="360" w:lineRule="auto"/>
              <w:ind w:firstLine="0" w:firstLineChars="0"/>
              <w:jc w:val="center"/>
              <w:rPr>
                <w:color w:val="000000"/>
                <w:szCs w:val="24"/>
              </w:rPr>
            </w:pPr>
            <w:r>
              <w:rPr>
                <w:rFonts w:hint="eastAsia"/>
                <w:color w:val="000000"/>
                <w:szCs w:val="24"/>
              </w:rPr>
              <w:t>队长</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continue"/>
            <w:vAlign w:val="center"/>
          </w:tcPr>
          <w:p>
            <w:pPr>
              <w:spacing w:line="360" w:lineRule="auto"/>
              <w:ind w:firstLine="0" w:firstLineChars="0"/>
              <w:jc w:val="center"/>
              <w:rPr>
                <w:color w:val="000000"/>
                <w:szCs w:val="24"/>
              </w:rPr>
            </w:pPr>
          </w:p>
        </w:tc>
        <w:tc>
          <w:tcPr>
            <w:tcW w:w="1584" w:type="dxa"/>
            <w:vAlign w:val="center"/>
          </w:tcPr>
          <w:p>
            <w:pPr>
              <w:spacing w:line="360" w:lineRule="auto"/>
              <w:ind w:firstLine="0" w:firstLineChars="0"/>
              <w:jc w:val="center"/>
              <w:rPr>
                <w:color w:val="000000"/>
                <w:szCs w:val="24"/>
              </w:rPr>
            </w:pPr>
            <w:r>
              <w:rPr>
                <w:rFonts w:hint="eastAsia"/>
                <w:color w:val="000000"/>
                <w:szCs w:val="24"/>
              </w:rPr>
              <w:t>队员1</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continue"/>
            <w:vAlign w:val="center"/>
          </w:tcPr>
          <w:p>
            <w:pPr>
              <w:spacing w:line="360" w:lineRule="auto"/>
              <w:ind w:firstLine="0" w:firstLineChars="0"/>
              <w:jc w:val="center"/>
              <w:rPr>
                <w:color w:val="000000"/>
                <w:szCs w:val="24"/>
              </w:rPr>
            </w:pPr>
          </w:p>
        </w:tc>
        <w:tc>
          <w:tcPr>
            <w:tcW w:w="1584" w:type="dxa"/>
            <w:vAlign w:val="center"/>
          </w:tcPr>
          <w:p>
            <w:pPr>
              <w:spacing w:line="360" w:lineRule="auto"/>
              <w:ind w:firstLine="0" w:firstLineChars="0"/>
              <w:jc w:val="center"/>
              <w:rPr>
                <w:color w:val="000000"/>
                <w:szCs w:val="24"/>
              </w:rPr>
            </w:pPr>
            <w:r>
              <w:rPr>
                <w:rFonts w:hint="eastAsia"/>
                <w:color w:val="000000"/>
                <w:szCs w:val="24"/>
              </w:rPr>
              <w:t>队员2</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restart"/>
            <w:vAlign w:val="center"/>
          </w:tcPr>
          <w:p>
            <w:pPr>
              <w:spacing w:line="360" w:lineRule="auto"/>
              <w:ind w:firstLine="0" w:firstLineChars="0"/>
              <w:jc w:val="center"/>
              <w:rPr>
                <w:color w:val="000000"/>
                <w:szCs w:val="24"/>
              </w:rPr>
            </w:pPr>
            <w:r>
              <w:rPr>
                <w:rFonts w:hint="eastAsia"/>
                <w:color w:val="000000"/>
                <w:szCs w:val="24"/>
              </w:rPr>
              <w:t>第二代表队</w:t>
            </w:r>
          </w:p>
          <w:p>
            <w:pPr>
              <w:spacing w:line="360" w:lineRule="auto"/>
              <w:ind w:firstLine="0" w:firstLineChars="0"/>
              <w:jc w:val="center"/>
              <w:rPr>
                <w:color w:val="000000"/>
                <w:szCs w:val="24"/>
              </w:rPr>
            </w:pPr>
          </w:p>
        </w:tc>
        <w:tc>
          <w:tcPr>
            <w:tcW w:w="1584" w:type="dxa"/>
            <w:vAlign w:val="center"/>
          </w:tcPr>
          <w:p>
            <w:pPr>
              <w:spacing w:line="360" w:lineRule="auto"/>
              <w:ind w:firstLine="0" w:firstLineChars="0"/>
              <w:jc w:val="center"/>
              <w:rPr>
                <w:color w:val="000000"/>
                <w:szCs w:val="24"/>
              </w:rPr>
            </w:pPr>
            <w:r>
              <w:rPr>
                <w:rFonts w:hint="eastAsia"/>
                <w:color w:val="000000"/>
                <w:szCs w:val="24"/>
              </w:rPr>
              <w:t>指导老师</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continue"/>
            <w:vAlign w:val="center"/>
          </w:tcPr>
          <w:p>
            <w:pPr>
              <w:spacing w:line="360" w:lineRule="auto"/>
              <w:ind w:firstLine="0" w:firstLineChars="0"/>
              <w:jc w:val="center"/>
              <w:rPr>
                <w:color w:val="000000"/>
                <w:szCs w:val="24"/>
              </w:rPr>
            </w:pPr>
          </w:p>
        </w:tc>
        <w:tc>
          <w:tcPr>
            <w:tcW w:w="1584" w:type="dxa"/>
            <w:vAlign w:val="center"/>
          </w:tcPr>
          <w:p>
            <w:pPr>
              <w:spacing w:line="360" w:lineRule="auto"/>
              <w:ind w:firstLine="0" w:firstLineChars="0"/>
              <w:jc w:val="center"/>
              <w:rPr>
                <w:color w:val="000000"/>
                <w:szCs w:val="24"/>
              </w:rPr>
            </w:pPr>
            <w:r>
              <w:rPr>
                <w:rFonts w:hint="eastAsia"/>
                <w:color w:val="000000"/>
                <w:szCs w:val="24"/>
              </w:rPr>
              <w:t>队长</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continue"/>
            <w:vAlign w:val="center"/>
          </w:tcPr>
          <w:p>
            <w:pPr>
              <w:spacing w:line="360" w:lineRule="auto"/>
              <w:ind w:firstLine="0" w:firstLineChars="0"/>
              <w:jc w:val="center"/>
              <w:rPr>
                <w:color w:val="000000"/>
                <w:szCs w:val="24"/>
              </w:rPr>
            </w:pPr>
          </w:p>
        </w:tc>
        <w:tc>
          <w:tcPr>
            <w:tcW w:w="1584" w:type="dxa"/>
            <w:vAlign w:val="center"/>
          </w:tcPr>
          <w:p>
            <w:pPr>
              <w:spacing w:line="360" w:lineRule="auto"/>
              <w:ind w:firstLine="0" w:firstLineChars="0"/>
              <w:jc w:val="center"/>
              <w:rPr>
                <w:color w:val="000000"/>
                <w:szCs w:val="24"/>
              </w:rPr>
            </w:pPr>
            <w:r>
              <w:rPr>
                <w:rFonts w:hint="eastAsia"/>
                <w:color w:val="000000"/>
                <w:szCs w:val="24"/>
              </w:rPr>
              <w:t>队员1</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vMerge w:val="continue"/>
            <w:vAlign w:val="center"/>
          </w:tcPr>
          <w:p>
            <w:pPr>
              <w:spacing w:line="360" w:lineRule="auto"/>
              <w:ind w:firstLine="0" w:firstLineChars="0"/>
              <w:jc w:val="center"/>
              <w:rPr>
                <w:color w:val="000000"/>
                <w:szCs w:val="24"/>
              </w:rPr>
            </w:pPr>
          </w:p>
        </w:tc>
        <w:tc>
          <w:tcPr>
            <w:tcW w:w="1584" w:type="dxa"/>
            <w:vAlign w:val="center"/>
          </w:tcPr>
          <w:p>
            <w:pPr>
              <w:spacing w:line="360" w:lineRule="auto"/>
              <w:ind w:firstLine="0" w:firstLineChars="0"/>
              <w:jc w:val="center"/>
              <w:rPr>
                <w:color w:val="000000"/>
                <w:szCs w:val="24"/>
              </w:rPr>
            </w:pPr>
            <w:r>
              <w:rPr>
                <w:rFonts w:hint="eastAsia"/>
                <w:color w:val="000000"/>
                <w:szCs w:val="24"/>
              </w:rPr>
              <w:t>队员2</w:t>
            </w:r>
          </w:p>
        </w:tc>
        <w:tc>
          <w:tcPr>
            <w:tcW w:w="1572" w:type="dxa"/>
            <w:vAlign w:val="center"/>
          </w:tcPr>
          <w:p>
            <w:pPr>
              <w:spacing w:line="360" w:lineRule="auto"/>
              <w:ind w:firstLine="0" w:firstLineChars="0"/>
              <w:jc w:val="center"/>
              <w:rPr>
                <w:color w:val="000000"/>
                <w:szCs w:val="24"/>
              </w:rPr>
            </w:pPr>
          </w:p>
        </w:tc>
        <w:tc>
          <w:tcPr>
            <w:tcW w:w="1056" w:type="dxa"/>
            <w:vAlign w:val="center"/>
          </w:tcPr>
          <w:p>
            <w:pPr>
              <w:spacing w:line="360" w:lineRule="auto"/>
              <w:ind w:firstLine="0" w:firstLineChars="0"/>
              <w:jc w:val="center"/>
              <w:rPr>
                <w:color w:val="000000"/>
                <w:szCs w:val="24"/>
              </w:rPr>
            </w:pPr>
          </w:p>
        </w:tc>
        <w:tc>
          <w:tcPr>
            <w:tcW w:w="3168" w:type="dxa"/>
            <w:vAlign w:val="center"/>
          </w:tcPr>
          <w:p>
            <w:pPr>
              <w:spacing w:line="360" w:lineRule="auto"/>
              <w:ind w:firstLine="0" w:firstLineChars="0"/>
              <w:jc w:val="center"/>
              <w:rPr>
                <w:color w:val="000000"/>
                <w:szCs w:val="24"/>
              </w:rPr>
            </w:pPr>
          </w:p>
        </w:tc>
        <w:tc>
          <w:tcPr>
            <w:tcW w:w="2651" w:type="dxa"/>
            <w:vAlign w:val="center"/>
          </w:tcPr>
          <w:p>
            <w:pPr>
              <w:spacing w:line="360" w:lineRule="auto"/>
              <w:ind w:firstLine="0" w:firstLineChars="0"/>
              <w:jc w:val="center"/>
              <w:rPr>
                <w:color w:val="000000"/>
                <w:szCs w:val="24"/>
              </w:rPr>
            </w:pPr>
          </w:p>
        </w:tc>
        <w:tc>
          <w:tcPr>
            <w:tcW w:w="2652" w:type="dxa"/>
            <w:vAlign w:val="center"/>
          </w:tcPr>
          <w:p>
            <w:pPr>
              <w:spacing w:line="360" w:lineRule="auto"/>
              <w:ind w:firstLine="0" w:firstLineChars="0"/>
              <w:jc w:val="center"/>
              <w:rPr>
                <w:color w:val="000000"/>
                <w:szCs w:val="24"/>
              </w:rPr>
            </w:pPr>
          </w:p>
        </w:tc>
      </w:tr>
    </w:tbl>
    <w:p>
      <w:pPr>
        <w:widowControl/>
        <w:ind w:firstLine="0" w:firstLineChars="0"/>
        <w:jc w:val="right"/>
        <w:rPr>
          <w:rFonts w:ascii="宋体" w:hAnsi="宋体" w:cs="宋体"/>
          <w:color w:val="000000"/>
          <w:kern w:val="0"/>
          <w:sz w:val="23"/>
          <w:szCs w:val="23"/>
          <w:lang w:bidi="ar"/>
        </w:rPr>
      </w:pPr>
    </w:p>
    <w:p>
      <w:pPr>
        <w:widowControl/>
        <w:ind w:firstLine="0" w:firstLineChars="0"/>
        <w:jc w:val="center"/>
        <w:rPr>
          <w:rFonts w:ascii="宋体" w:hAnsi="宋体" w:cs="宋体"/>
          <w:color w:val="000000"/>
          <w:kern w:val="0"/>
          <w:sz w:val="23"/>
          <w:szCs w:val="23"/>
          <w:lang w:bidi="ar"/>
        </w:rPr>
      </w:pPr>
      <w:r>
        <w:rPr>
          <w:rFonts w:hint="eastAsia" w:ascii="宋体" w:hAnsi="宋体" w:cs="宋体"/>
          <w:color w:val="000000"/>
          <w:kern w:val="0"/>
          <w:sz w:val="23"/>
          <w:szCs w:val="23"/>
          <w:lang w:bidi="ar"/>
        </w:rPr>
        <w:t xml:space="preserve">                                                               院系（负责人签字、公章）：         </w:t>
      </w:r>
    </w:p>
    <w:p>
      <w:pPr>
        <w:widowControl/>
        <w:ind w:firstLine="0" w:firstLineChars="0"/>
        <w:jc w:val="center"/>
        <w:rPr>
          <w:rFonts w:ascii="宋体" w:hAnsi="宋体" w:cs="宋体"/>
          <w:color w:val="000000"/>
          <w:kern w:val="0"/>
          <w:sz w:val="23"/>
          <w:szCs w:val="23"/>
          <w:lang w:bidi="ar"/>
        </w:rPr>
      </w:pPr>
    </w:p>
    <w:p>
      <w:pPr>
        <w:widowControl/>
        <w:ind w:firstLine="0" w:firstLineChars="0"/>
        <w:jc w:val="center"/>
      </w:pPr>
      <w:r>
        <w:rPr>
          <w:rFonts w:hint="eastAsia" w:ascii="宋体" w:hAnsi="宋体" w:cs="宋体"/>
          <w:color w:val="000000"/>
          <w:kern w:val="0"/>
          <w:sz w:val="23"/>
          <w:szCs w:val="23"/>
          <w:lang w:bidi="ar"/>
        </w:rPr>
        <w:t xml:space="preserve"> </w:t>
      </w:r>
      <w:r>
        <w:rPr>
          <w:rFonts w:ascii="黑体" w:hAnsi="宋体" w:eastAsia="黑体" w:cs="黑体"/>
          <w:color w:val="000000"/>
          <w:kern w:val="0"/>
          <w:sz w:val="23"/>
          <w:szCs w:val="23"/>
          <w:lang w:bidi="ar"/>
        </w:rPr>
        <w:t xml:space="preserve"> </w:t>
      </w:r>
    </w:p>
    <w:p>
      <w:pPr>
        <w:widowControl/>
        <w:ind w:firstLine="460"/>
        <w:jc w:val="right"/>
      </w:pPr>
      <w:r>
        <w:rPr>
          <w:rFonts w:hint="eastAsia" w:ascii="宋体" w:hAnsi="宋体" w:cs="宋体"/>
          <w:color w:val="000000"/>
          <w:kern w:val="0"/>
          <w:sz w:val="23"/>
          <w:szCs w:val="23"/>
          <w:lang w:bidi="ar"/>
        </w:rPr>
        <w:t>年</w:t>
      </w:r>
      <w:r>
        <w:rPr>
          <w:rFonts w:hint="eastAsia" w:ascii="黑体" w:hAnsi="宋体" w:eastAsia="黑体" w:cs="黑体"/>
          <w:color w:val="000000"/>
          <w:kern w:val="0"/>
          <w:sz w:val="23"/>
          <w:szCs w:val="23"/>
          <w:lang w:bidi="ar"/>
        </w:rPr>
        <w:t xml:space="preserve">       </w:t>
      </w:r>
      <w:r>
        <w:rPr>
          <w:rFonts w:hint="eastAsia" w:ascii="宋体" w:hAnsi="宋体" w:cs="宋体"/>
          <w:color w:val="000000"/>
          <w:kern w:val="0"/>
          <w:sz w:val="23"/>
          <w:szCs w:val="23"/>
          <w:lang w:bidi="ar"/>
        </w:rPr>
        <w:t>月</w:t>
      </w:r>
      <w:r>
        <w:rPr>
          <w:rFonts w:hint="eastAsia" w:ascii="黑体" w:hAnsi="宋体" w:eastAsia="黑体" w:cs="黑体"/>
          <w:color w:val="000000"/>
          <w:kern w:val="0"/>
          <w:sz w:val="23"/>
          <w:szCs w:val="23"/>
          <w:lang w:bidi="ar"/>
        </w:rPr>
        <w:t xml:space="preserve">      </w:t>
      </w:r>
      <w:r>
        <w:rPr>
          <w:rFonts w:hint="eastAsia" w:ascii="宋体" w:hAnsi="宋体" w:cs="宋体"/>
          <w:color w:val="000000"/>
          <w:kern w:val="0"/>
          <w:sz w:val="23"/>
          <w:szCs w:val="23"/>
          <w:lang w:bidi="ar"/>
        </w:rPr>
        <w:t>日</w:t>
      </w:r>
    </w:p>
    <w:p>
      <w:pPr>
        <w:widowControl/>
        <w:ind w:firstLine="420"/>
        <w:jc w:val="left"/>
        <w:rPr>
          <w:rFonts w:ascii="宋体" w:hAnsi="宋体" w:cs="宋体"/>
          <w:color w:val="000000"/>
          <w:kern w:val="0"/>
          <w:sz w:val="21"/>
          <w:szCs w:val="21"/>
          <w:lang w:bidi="ar"/>
        </w:rPr>
      </w:pPr>
    </w:p>
    <w:p>
      <w:pPr>
        <w:widowControl/>
        <w:ind w:firstLine="420"/>
        <w:jc w:val="left"/>
        <w:rPr>
          <w:rFonts w:ascii="宋体" w:hAnsi="宋体" w:cs="宋体"/>
          <w:color w:val="000000"/>
          <w:kern w:val="0"/>
          <w:sz w:val="21"/>
          <w:szCs w:val="21"/>
          <w:lang w:bidi="ar"/>
        </w:rPr>
      </w:pPr>
    </w:p>
    <w:p>
      <w:pPr>
        <w:widowControl/>
        <w:ind w:firstLine="420"/>
        <w:jc w:val="left"/>
        <w:rPr>
          <w:rFonts w:ascii="宋体" w:hAnsi="宋体" w:cs="宋体"/>
          <w:color w:val="000000"/>
          <w:kern w:val="0"/>
          <w:sz w:val="21"/>
          <w:szCs w:val="21"/>
          <w:lang w:bidi="ar"/>
        </w:rPr>
      </w:pPr>
    </w:p>
    <w:p>
      <w:pPr>
        <w:widowControl/>
        <w:ind w:firstLine="420"/>
        <w:jc w:val="left"/>
      </w:pPr>
      <w:r>
        <w:rPr>
          <w:rFonts w:hint="eastAsia" w:ascii="宋体" w:hAnsi="宋体" w:cs="宋体"/>
          <w:color w:val="000000"/>
          <w:kern w:val="0"/>
          <w:sz w:val="21"/>
          <w:szCs w:val="21"/>
          <w:lang w:bidi="ar"/>
        </w:rPr>
        <w:t>注：①每校限报</w:t>
      </w:r>
      <w:r>
        <w:rPr>
          <w:color w:val="000000"/>
          <w:kern w:val="0"/>
          <w:sz w:val="21"/>
          <w:szCs w:val="21"/>
          <w:lang w:bidi="ar"/>
        </w:rPr>
        <w:t xml:space="preserve">2个参赛代表队，每队包括指导教师1人和队员3人（包括1名队长）。 </w:t>
      </w:r>
    </w:p>
    <w:p>
      <w:pPr>
        <w:widowControl/>
        <w:ind w:firstLine="840" w:firstLineChars="400"/>
        <w:jc w:val="left"/>
      </w:pPr>
      <w:r>
        <w:rPr>
          <w:rFonts w:hint="eastAsia" w:ascii="宋体" w:hAnsi="宋体" w:cs="宋体"/>
          <w:color w:val="000000"/>
          <w:kern w:val="0"/>
          <w:sz w:val="21"/>
          <w:szCs w:val="21"/>
          <w:lang w:bidi="ar"/>
        </w:rPr>
        <w:t>②</w:t>
      </w:r>
      <w:r>
        <w:rPr>
          <w:color w:val="000000"/>
          <w:kern w:val="0"/>
          <w:sz w:val="21"/>
          <w:szCs w:val="21"/>
          <w:lang w:bidi="ar"/>
        </w:rPr>
        <w:t>各高校务必于2023年10月17日之前将该报名表彩色扫描件发至指定邮箱gdutmxjs@126.com，原件于正式比赛报到时交给承办方。</w:t>
      </w:r>
    </w:p>
    <w:p>
      <w:pPr>
        <w:spacing w:line="360" w:lineRule="auto"/>
        <w:ind w:firstLine="0" w:firstLineChars="0"/>
        <w:rPr>
          <w:color w:val="000000"/>
          <w:szCs w:val="24"/>
        </w:rPr>
      </w:pPr>
      <w:bookmarkStart w:id="0" w:name="_GoBack"/>
      <w:bookmarkEnd w:id="0"/>
    </w:p>
    <w:sectPr>
      <w:pgSz w:w="16838" w:h="11906" w:orient="landscape"/>
      <w:pgMar w:top="1417" w:right="1417" w:bottom="1134"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imesNewRomanPSMT">
    <w:altName w:val="Times New Roman"/>
    <w:panose1 w:val="00000000000000000000"/>
    <w:charset w:val="00"/>
    <w:family w:val="auto"/>
    <w:pitch w:val="default"/>
    <w:sig w:usb0="00000000" w:usb1="00000000" w:usb2="00000000" w:usb3="00000000" w:csb0="00040001" w:csb1="00000000"/>
  </w:font>
  <w:font w:name="SymbolMT">
    <w:altName w:val="Times New Roman"/>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59C6FA"/>
    <w:multiLevelType w:val="singleLevel"/>
    <w:tmpl w:val="9359C6FA"/>
    <w:lvl w:ilvl="0" w:tentative="0">
      <w:start w:val="1"/>
      <w:numFmt w:val="lowerLetter"/>
      <w:lvlText w:val="%1."/>
      <w:lvlJc w:val="left"/>
      <w:pPr>
        <w:ind w:left="425" w:hanging="425"/>
      </w:pPr>
      <w:rPr>
        <w:rFonts w:hint="default"/>
      </w:rPr>
    </w:lvl>
  </w:abstractNum>
  <w:abstractNum w:abstractNumId="1">
    <w:nsid w:val="A7BF07F5"/>
    <w:multiLevelType w:val="singleLevel"/>
    <w:tmpl w:val="A7BF07F5"/>
    <w:lvl w:ilvl="0" w:tentative="0">
      <w:start w:val="1"/>
      <w:numFmt w:val="decimalEnclosedCircleChinese"/>
      <w:suff w:val="nothing"/>
      <w:lvlText w:val="%1　"/>
      <w:lvlJc w:val="left"/>
      <w:pPr>
        <w:ind w:left="0" w:firstLine="400"/>
      </w:pPr>
      <w:rPr>
        <w:rFonts w:hint="eastAsia"/>
      </w:rPr>
    </w:lvl>
  </w:abstractNum>
  <w:abstractNum w:abstractNumId="2">
    <w:nsid w:val="BA893C41"/>
    <w:multiLevelType w:val="singleLevel"/>
    <w:tmpl w:val="BA893C41"/>
    <w:lvl w:ilvl="0" w:tentative="0">
      <w:start w:val="2"/>
      <w:numFmt w:val="decimal"/>
      <w:suff w:val="nothing"/>
      <w:lvlText w:val="（%1）"/>
      <w:lvlJc w:val="left"/>
    </w:lvl>
  </w:abstractNum>
  <w:abstractNum w:abstractNumId="3">
    <w:nsid w:val="CEEE5626"/>
    <w:multiLevelType w:val="singleLevel"/>
    <w:tmpl w:val="CEEE5626"/>
    <w:lvl w:ilvl="0" w:tentative="0">
      <w:start w:val="1"/>
      <w:numFmt w:val="decimalEnclosedCircleChinese"/>
      <w:suff w:val="nothing"/>
      <w:lvlText w:val="%1　"/>
      <w:lvlJc w:val="left"/>
      <w:pPr>
        <w:ind w:left="0" w:firstLine="400"/>
      </w:pPr>
      <w:rPr>
        <w:rFonts w:hint="eastAsia"/>
      </w:rPr>
    </w:lvl>
  </w:abstractNum>
  <w:abstractNum w:abstractNumId="4">
    <w:nsid w:val="DDFE7F2E"/>
    <w:multiLevelType w:val="multilevel"/>
    <w:tmpl w:val="DDFE7F2E"/>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FB5F5F5B"/>
    <w:multiLevelType w:val="singleLevel"/>
    <w:tmpl w:val="FB5F5F5B"/>
    <w:lvl w:ilvl="0" w:tentative="0">
      <w:start w:val="4"/>
      <w:numFmt w:val="decimal"/>
      <w:suff w:val="nothing"/>
      <w:lvlText w:val="（%1）"/>
      <w:lvlJc w:val="left"/>
    </w:lvl>
  </w:abstractNum>
  <w:abstractNum w:abstractNumId="6">
    <w:nsid w:val="FDFE6CC6"/>
    <w:multiLevelType w:val="singleLevel"/>
    <w:tmpl w:val="FDFE6CC6"/>
    <w:lvl w:ilvl="0" w:tentative="0">
      <w:start w:val="1"/>
      <w:numFmt w:val="decimalEnclosedCircleChinese"/>
      <w:suff w:val="nothing"/>
      <w:lvlText w:val="%1　"/>
      <w:lvlJc w:val="left"/>
      <w:pPr>
        <w:ind w:left="0" w:firstLine="400"/>
      </w:pPr>
      <w:rPr>
        <w:rFonts w:hint="eastAsia"/>
      </w:rPr>
    </w:lvl>
  </w:abstractNum>
  <w:abstractNum w:abstractNumId="7">
    <w:nsid w:val="30147DE8"/>
    <w:multiLevelType w:val="singleLevel"/>
    <w:tmpl w:val="30147DE8"/>
    <w:lvl w:ilvl="0" w:tentative="0">
      <w:start w:val="1"/>
      <w:numFmt w:val="lowerLetter"/>
      <w:lvlText w:val="%1."/>
      <w:lvlJc w:val="left"/>
      <w:pPr>
        <w:ind w:left="425" w:hanging="425"/>
      </w:pPr>
      <w:rPr>
        <w:rFonts w:hint="default"/>
      </w:rPr>
    </w:lvl>
  </w:abstractNum>
  <w:abstractNum w:abstractNumId="8">
    <w:nsid w:val="7FDCB38B"/>
    <w:multiLevelType w:val="singleLevel"/>
    <w:tmpl w:val="7FDCB38B"/>
    <w:lvl w:ilvl="0" w:tentative="0">
      <w:start w:val="1"/>
      <w:numFmt w:val="lowerLetter"/>
      <w:lvlText w:val="%1."/>
      <w:lvlJc w:val="left"/>
      <w:pPr>
        <w:tabs>
          <w:tab w:val="left" w:pos="845"/>
        </w:tabs>
        <w:ind w:left="845" w:hanging="425"/>
      </w:pPr>
      <w:rPr>
        <w:rFonts w:hint="default"/>
      </w:rPr>
    </w:lvl>
  </w:abstractNum>
  <w:num w:numId="1">
    <w:abstractNumId w:val="2"/>
  </w:num>
  <w:num w:numId="2">
    <w:abstractNumId w:val="3"/>
  </w:num>
  <w:num w:numId="3">
    <w:abstractNumId w:val="1"/>
  </w:num>
  <w:num w:numId="4">
    <w:abstractNumId w:val="5"/>
  </w:num>
  <w:num w:numId="5">
    <w:abstractNumId w:val="6"/>
  </w:num>
  <w:num w:numId="6">
    <w:abstractNumId w:val="8"/>
  </w:num>
  <w:num w:numId="7">
    <w:abstractNumId w:val="4"/>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yMGEzZWE5MWE0YTRlYzdjNTYxMTAzNTYxOWYxNzcifQ=="/>
  </w:docVars>
  <w:rsids>
    <w:rsidRoot w:val="74094CB4"/>
    <w:rsid w:val="00005796"/>
    <w:rsid w:val="00037682"/>
    <w:rsid w:val="000C6ED9"/>
    <w:rsid w:val="000E2CB1"/>
    <w:rsid w:val="000E7C20"/>
    <w:rsid w:val="000F2753"/>
    <w:rsid w:val="00102A62"/>
    <w:rsid w:val="001108C0"/>
    <w:rsid w:val="00111760"/>
    <w:rsid w:val="00124D2F"/>
    <w:rsid w:val="00155E8B"/>
    <w:rsid w:val="00173D09"/>
    <w:rsid w:val="001926AF"/>
    <w:rsid w:val="001B4966"/>
    <w:rsid w:val="001C1AD1"/>
    <w:rsid w:val="001F0FE6"/>
    <w:rsid w:val="00231302"/>
    <w:rsid w:val="00234967"/>
    <w:rsid w:val="002433EF"/>
    <w:rsid w:val="00252313"/>
    <w:rsid w:val="002A547E"/>
    <w:rsid w:val="002E419D"/>
    <w:rsid w:val="003366F6"/>
    <w:rsid w:val="00350389"/>
    <w:rsid w:val="00366ACF"/>
    <w:rsid w:val="003834FA"/>
    <w:rsid w:val="00384B9C"/>
    <w:rsid w:val="003A5CAA"/>
    <w:rsid w:val="003C497C"/>
    <w:rsid w:val="003C6B55"/>
    <w:rsid w:val="00413F0B"/>
    <w:rsid w:val="00426BD2"/>
    <w:rsid w:val="00475BF0"/>
    <w:rsid w:val="0047766B"/>
    <w:rsid w:val="004B09A0"/>
    <w:rsid w:val="004C548B"/>
    <w:rsid w:val="004E0F70"/>
    <w:rsid w:val="004F4B51"/>
    <w:rsid w:val="00501608"/>
    <w:rsid w:val="0054414B"/>
    <w:rsid w:val="00555D06"/>
    <w:rsid w:val="0056315D"/>
    <w:rsid w:val="00591149"/>
    <w:rsid w:val="005D298F"/>
    <w:rsid w:val="00614F32"/>
    <w:rsid w:val="00622AE1"/>
    <w:rsid w:val="00643105"/>
    <w:rsid w:val="006B0C0A"/>
    <w:rsid w:val="006B3BDE"/>
    <w:rsid w:val="00715E7F"/>
    <w:rsid w:val="007212E4"/>
    <w:rsid w:val="007409F5"/>
    <w:rsid w:val="00750152"/>
    <w:rsid w:val="007B32EE"/>
    <w:rsid w:val="007D6BC4"/>
    <w:rsid w:val="007E312F"/>
    <w:rsid w:val="007E5BE0"/>
    <w:rsid w:val="00804C8B"/>
    <w:rsid w:val="00811A6F"/>
    <w:rsid w:val="00812711"/>
    <w:rsid w:val="00820850"/>
    <w:rsid w:val="008312D5"/>
    <w:rsid w:val="00845304"/>
    <w:rsid w:val="008707EE"/>
    <w:rsid w:val="00877A28"/>
    <w:rsid w:val="00893F9E"/>
    <w:rsid w:val="00896BFB"/>
    <w:rsid w:val="008C6C69"/>
    <w:rsid w:val="008D49F9"/>
    <w:rsid w:val="008F184B"/>
    <w:rsid w:val="009106DE"/>
    <w:rsid w:val="00926705"/>
    <w:rsid w:val="00946665"/>
    <w:rsid w:val="009856A1"/>
    <w:rsid w:val="009F1A5F"/>
    <w:rsid w:val="009F5CC7"/>
    <w:rsid w:val="00A931C5"/>
    <w:rsid w:val="00AB69EA"/>
    <w:rsid w:val="00AD4309"/>
    <w:rsid w:val="00B11078"/>
    <w:rsid w:val="00B2546C"/>
    <w:rsid w:val="00B51426"/>
    <w:rsid w:val="00B57E92"/>
    <w:rsid w:val="00BC59B7"/>
    <w:rsid w:val="00BE0F55"/>
    <w:rsid w:val="00BF379B"/>
    <w:rsid w:val="00BF4A7F"/>
    <w:rsid w:val="00C04355"/>
    <w:rsid w:val="00C0624A"/>
    <w:rsid w:val="00C72FD7"/>
    <w:rsid w:val="00C8300D"/>
    <w:rsid w:val="00CA3A22"/>
    <w:rsid w:val="00CD1227"/>
    <w:rsid w:val="00CD164C"/>
    <w:rsid w:val="00CE68F6"/>
    <w:rsid w:val="00D1798A"/>
    <w:rsid w:val="00D640C7"/>
    <w:rsid w:val="00D758D4"/>
    <w:rsid w:val="00D8572D"/>
    <w:rsid w:val="00D858F1"/>
    <w:rsid w:val="00D912C6"/>
    <w:rsid w:val="00D931C7"/>
    <w:rsid w:val="00DA4BAA"/>
    <w:rsid w:val="00DA4E45"/>
    <w:rsid w:val="00DC6172"/>
    <w:rsid w:val="00E3312D"/>
    <w:rsid w:val="00E52E72"/>
    <w:rsid w:val="00E84E0C"/>
    <w:rsid w:val="00EB00A9"/>
    <w:rsid w:val="00F20CF6"/>
    <w:rsid w:val="00F40615"/>
    <w:rsid w:val="00F55DA0"/>
    <w:rsid w:val="00F60AB8"/>
    <w:rsid w:val="00F85D81"/>
    <w:rsid w:val="00F8742B"/>
    <w:rsid w:val="01803FF7"/>
    <w:rsid w:val="01C14D7B"/>
    <w:rsid w:val="024E7D3B"/>
    <w:rsid w:val="02A03C7D"/>
    <w:rsid w:val="032A189A"/>
    <w:rsid w:val="03351867"/>
    <w:rsid w:val="03402F18"/>
    <w:rsid w:val="03715359"/>
    <w:rsid w:val="042D5ACB"/>
    <w:rsid w:val="04581CB1"/>
    <w:rsid w:val="049B2A91"/>
    <w:rsid w:val="04E23606"/>
    <w:rsid w:val="064E3853"/>
    <w:rsid w:val="06C46DED"/>
    <w:rsid w:val="0766561F"/>
    <w:rsid w:val="07926EFD"/>
    <w:rsid w:val="085D7896"/>
    <w:rsid w:val="08665714"/>
    <w:rsid w:val="08CA0E52"/>
    <w:rsid w:val="09694018"/>
    <w:rsid w:val="0A404929"/>
    <w:rsid w:val="0A9926DB"/>
    <w:rsid w:val="0B5867B8"/>
    <w:rsid w:val="0B705B32"/>
    <w:rsid w:val="0BE81B6C"/>
    <w:rsid w:val="0C99323D"/>
    <w:rsid w:val="0D530AFD"/>
    <w:rsid w:val="0D657D33"/>
    <w:rsid w:val="0DD12B0D"/>
    <w:rsid w:val="0E2C2B37"/>
    <w:rsid w:val="0ED52D80"/>
    <w:rsid w:val="0EE24651"/>
    <w:rsid w:val="0F0004DD"/>
    <w:rsid w:val="0FF90E53"/>
    <w:rsid w:val="10411774"/>
    <w:rsid w:val="10504375"/>
    <w:rsid w:val="11AE07AF"/>
    <w:rsid w:val="1209283C"/>
    <w:rsid w:val="12177598"/>
    <w:rsid w:val="128C7F51"/>
    <w:rsid w:val="12A81FDF"/>
    <w:rsid w:val="12D7663C"/>
    <w:rsid w:val="13DB5685"/>
    <w:rsid w:val="13FA3D7A"/>
    <w:rsid w:val="141166AC"/>
    <w:rsid w:val="14227AF6"/>
    <w:rsid w:val="14DE5FC6"/>
    <w:rsid w:val="153455CA"/>
    <w:rsid w:val="16215087"/>
    <w:rsid w:val="163B5CA6"/>
    <w:rsid w:val="16462BE0"/>
    <w:rsid w:val="16B80517"/>
    <w:rsid w:val="170976A5"/>
    <w:rsid w:val="173F7277"/>
    <w:rsid w:val="174E4C15"/>
    <w:rsid w:val="18995B9F"/>
    <w:rsid w:val="18A1707D"/>
    <w:rsid w:val="196F567B"/>
    <w:rsid w:val="19732C07"/>
    <w:rsid w:val="19A075E2"/>
    <w:rsid w:val="19CA601A"/>
    <w:rsid w:val="19F25A4D"/>
    <w:rsid w:val="1A677A79"/>
    <w:rsid w:val="1AEFD4D0"/>
    <w:rsid w:val="1BC75EFD"/>
    <w:rsid w:val="1BDE43F2"/>
    <w:rsid w:val="1BF70E86"/>
    <w:rsid w:val="1BFF7EA4"/>
    <w:rsid w:val="1C374B1F"/>
    <w:rsid w:val="1C4E5A1B"/>
    <w:rsid w:val="1C9D7520"/>
    <w:rsid w:val="1CC01D49"/>
    <w:rsid w:val="1CF66B6B"/>
    <w:rsid w:val="1D385D84"/>
    <w:rsid w:val="1D506B65"/>
    <w:rsid w:val="1DDE6E3A"/>
    <w:rsid w:val="1E7E2438"/>
    <w:rsid w:val="1E82310A"/>
    <w:rsid w:val="1EC27CA1"/>
    <w:rsid w:val="1EDB0C7D"/>
    <w:rsid w:val="1F44144C"/>
    <w:rsid w:val="2007660D"/>
    <w:rsid w:val="200F33B5"/>
    <w:rsid w:val="202C422E"/>
    <w:rsid w:val="20825ACA"/>
    <w:rsid w:val="2130749E"/>
    <w:rsid w:val="216F2737"/>
    <w:rsid w:val="21F55E27"/>
    <w:rsid w:val="220E6EDC"/>
    <w:rsid w:val="22D52502"/>
    <w:rsid w:val="23A86B40"/>
    <w:rsid w:val="24464AE9"/>
    <w:rsid w:val="2496284D"/>
    <w:rsid w:val="24C903BC"/>
    <w:rsid w:val="251E202C"/>
    <w:rsid w:val="254E02BB"/>
    <w:rsid w:val="259118B0"/>
    <w:rsid w:val="260676FF"/>
    <w:rsid w:val="263712CE"/>
    <w:rsid w:val="26B07893"/>
    <w:rsid w:val="26FE64DB"/>
    <w:rsid w:val="27DF5779"/>
    <w:rsid w:val="287901F8"/>
    <w:rsid w:val="293678F5"/>
    <w:rsid w:val="29583A35"/>
    <w:rsid w:val="2971014B"/>
    <w:rsid w:val="2A132E42"/>
    <w:rsid w:val="2B507F2A"/>
    <w:rsid w:val="2BB4516F"/>
    <w:rsid w:val="2CB43679"/>
    <w:rsid w:val="2D236108"/>
    <w:rsid w:val="2EFF2BA5"/>
    <w:rsid w:val="2FD25965"/>
    <w:rsid w:val="30662EDC"/>
    <w:rsid w:val="307BE3B0"/>
    <w:rsid w:val="3089052D"/>
    <w:rsid w:val="308E070A"/>
    <w:rsid w:val="30D320BD"/>
    <w:rsid w:val="31AB1C6D"/>
    <w:rsid w:val="32427031"/>
    <w:rsid w:val="326C485E"/>
    <w:rsid w:val="32C66109"/>
    <w:rsid w:val="32CE2FBA"/>
    <w:rsid w:val="32D14858"/>
    <w:rsid w:val="33BF534B"/>
    <w:rsid w:val="33DB54A3"/>
    <w:rsid w:val="33E67E90"/>
    <w:rsid w:val="34680B7D"/>
    <w:rsid w:val="34757B91"/>
    <w:rsid w:val="347AA334"/>
    <w:rsid w:val="3489567C"/>
    <w:rsid w:val="34912275"/>
    <w:rsid w:val="34954C78"/>
    <w:rsid w:val="363D6078"/>
    <w:rsid w:val="36CE4570"/>
    <w:rsid w:val="36FF1994"/>
    <w:rsid w:val="37166CDE"/>
    <w:rsid w:val="37557806"/>
    <w:rsid w:val="37D56523"/>
    <w:rsid w:val="37E2320C"/>
    <w:rsid w:val="38210DB4"/>
    <w:rsid w:val="38A21BF6"/>
    <w:rsid w:val="39407DC9"/>
    <w:rsid w:val="3A0E0282"/>
    <w:rsid w:val="3A401E2F"/>
    <w:rsid w:val="3A68164F"/>
    <w:rsid w:val="3A6C2245"/>
    <w:rsid w:val="3AC343CF"/>
    <w:rsid w:val="3AC86A32"/>
    <w:rsid w:val="3B0A6B7B"/>
    <w:rsid w:val="3B171F7A"/>
    <w:rsid w:val="3BFA0209"/>
    <w:rsid w:val="3C095BAF"/>
    <w:rsid w:val="3C330923"/>
    <w:rsid w:val="3CB85F93"/>
    <w:rsid w:val="3EA224D7"/>
    <w:rsid w:val="3F3030ED"/>
    <w:rsid w:val="3F321B7A"/>
    <w:rsid w:val="3F577E93"/>
    <w:rsid w:val="40121E36"/>
    <w:rsid w:val="408D1686"/>
    <w:rsid w:val="409523CF"/>
    <w:rsid w:val="41327F86"/>
    <w:rsid w:val="417A6768"/>
    <w:rsid w:val="424830B5"/>
    <w:rsid w:val="42FB3381"/>
    <w:rsid w:val="430F2CE5"/>
    <w:rsid w:val="440F51E1"/>
    <w:rsid w:val="446FF6DA"/>
    <w:rsid w:val="453B2B2E"/>
    <w:rsid w:val="45CD6E1B"/>
    <w:rsid w:val="46041FB3"/>
    <w:rsid w:val="460F70C6"/>
    <w:rsid w:val="46407634"/>
    <w:rsid w:val="465B309E"/>
    <w:rsid w:val="465D2FD2"/>
    <w:rsid w:val="46D72F13"/>
    <w:rsid w:val="46DD3374"/>
    <w:rsid w:val="47470F08"/>
    <w:rsid w:val="47657D3C"/>
    <w:rsid w:val="48053F97"/>
    <w:rsid w:val="482A7F9C"/>
    <w:rsid w:val="48785F99"/>
    <w:rsid w:val="4960505A"/>
    <w:rsid w:val="49C8156E"/>
    <w:rsid w:val="49E12C8F"/>
    <w:rsid w:val="49F2369F"/>
    <w:rsid w:val="4A2D4613"/>
    <w:rsid w:val="4A895CED"/>
    <w:rsid w:val="4AA91EEB"/>
    <w:rsid w:val="4B2C587D"/>
    <w:rsid w:val="4B6518BA"/>
    <w:rsid w:val="4BA47608"/>
    <w:rsid w:val="4BAE58C7"/>
    <w:rsid w:val="4C14637E"/>
    <w:rsid w:val="4C657C0A"/>
    <w:rsid w:val="4CB07087"/>
    <w:rsid w:val="4D486EE0"/>
    <w:rsid w:val="4D695843"/>
    <w:rsid w:val="4DEF5C1C"/>
    <w:rsid w:val="4E324336"/>
    <w:rsid w:val="4EDE5BC3"/>
    <w:rsid w:val="4EEF2740"/>
    <w:rsid w:val="4F0C7F3B"/>
    <w:rsid w:val="4F521570"/>
    <w:rsid w:val="4FFB7002"/>
    <w:rsid w:val="5000392F"/>
    <w:rsid w:val="50603894"/>
    <w:rsid w:val="51960CEF"/>
    <w:rsid w:val="51D80D96"/>
    <w:rsid w:val="51F7566F"/>
    <w:rsid w:val="52A47B79"/>
    <w:rsid w:val="53690469"/>
    <w:rsid w:val="540A08BE"/>
    <w:rsid w:val="54627EC3"/>
    <w:rsid w:val="54A26F2C"/>
    <w:rsid w:val="5522341D"/>
    <w:rsid w:val="55F52F70"/>
    <w:rsid w:val="55FDEEA5"/>
    <w:rsid w:val="563F60B4"/>
    <w:rsid w:val="576D24F2"/>
    <w:rsid w:val="57D90632"/>
    <w:rsid w:val="57DB2325"/>
    <w:rsid w:val="57FBFFE5"/>
    <w:rsid w:val="58223AE0"/>
    <w:rsid w:val="5963595B"/>
    <w:rsid w:val="59AD3D34"/>
    <w:rsid w:val="5C68314D"/>
    <w:rsid w:val="5CA9C74A"/>
    <w:rsid w:val="5CBD26DC"/>
    <w:rsid w:val="5CF8BE5A"/>
    <w:rsid w:val="5DF11787"/>
    <w:rsid w:val="5EF746FA"/>
    <w:rsid w:val="5EFF0BA6"/>
    <w:rsid w:val="5F1C6CD8"/>
    <w:rsid w:val="5F363573"/>
    <w:rsid w:val="5FBE3889"/>
    <w:rsid w:val="5FCE0DF8"/>
    <w:rsid w:val="5FF4555F"/>
    <w:rsid w:val="5FF5C774"/>
    <w:rsid w:val="5FFF9A75"/>
    <w:rsid w:val="600C0AFA"/>
    <w:rsid w:val="609B6D65"/>
    <w:rsid w:val="60A54AAB"/>
    <w:rsid w:val="613F86B4"/>
    <w:rsid w:val="630E3C83"/>
    <w:rsid w:val="63BF1DB6"/>
    <w:rsid w:val="63E137D0"/>
    <w:rsid w:val="64794774"/>
    <w:rsid w:val="65963018"/>
    <w:rsid w:val="65A13A93"/>
    <w:rsid w:val="65BB4822"/>
    <w:rsid w:val="65BD2897"/>
    <w:rsid w:val="66375096"/>
    <w:rsid w:val="66A36732"/>
    <w:rsid w:val="66AA69E2"/>
    <w:rsid w:val="66DD08BE"/>
    <w:rsid w:val="6796214B"/>
    <w:rsid w:val="67C37122"/>
    <w:rsid w:val="67DA6285"/>
    <w:rsid w:val="682C4037"/>
    <w:rsid w:val="69BE4592"/>
    <w:rsid w:val="69E27A87"/>
    <w:rsid w:val="6A754057"/>
    <w:rsid w:val="6AE72D9B"/>
    <w:rsid w:val="6B3E2A69"/>
    <w:rsid w:val="6B5C2470"/>
    <w:rsid w:val="6BA1066E"/>
    <w:rsid w:val="6BDD4B01"/>
    <w:rsid w:val="6C8732CE"/>
    <w:rsid w:val="6CF77E48"/>
    <w:rsid w:val="6D2755AD"/>
    <w:rsid w:val="6D333A34"/>
    <w:rsid w:val="6DC0606F"/>
    <w:rsid w:val="6E752083"/>
    <w:rsid w:val="6E957F0D"/>
    <w:rsid w:val="6EA13F6B"/>
    <w:rsid w:val="6F6F25F9"/>
    <w:rsid w:val="6F8D7959"/>
    <w:rsid w:val="6FFC78DB"/>
    <w:rsid w:val="709078C1"/>
    <w:rsid w:val="709F5073"/>
    <w:rsid w:val="71463E90"/>
    <w:rsid w:val="717100DF"/>
    <w:rsid w:val="71777222"/>
    <w:rsid w:val="722D1C1B"/>
    <w:rsid w:val="72514A93"/>
    <w:rsid w:val="72921914"/>
    <w:rsid w:val="7295780E"/>
    <w:rsid w:val="72F55AB7"/>
    <w:rsid w:val="739BBC19"/>
    <w:rsid w:val="74094CB4"/>
    <w:rsid w:val="740D1BDA"/>
    <w:rsid w:val="741B0509"/>
    <w:rsid w:val="74220815"/>
    <w:rsid w:val="744C3764"/>
    <w:rsid w:val="746B5ED9"/>
    <w:rsid w:val="748B7A9D"/>
    <w:rsid w:val="74C3725D"/>
    <w:rsid w:val="76801353"/>
    <w:rsid w:val="76C74F3E"/>
    <w:rsid w:val="7735228D"/>
    <w:rsid w:val="77FF4FD0"/>
    <w:rsid w:val="78B31A8A"/>
    <w:rsid w:val="79077A82"/>
    <w:rsid w:val="79234725"/>
    <w:rsid w:val="7960632D"/>
    <w:rsid w:val="79716E39"/>
    <w:rsid w:val="79F5B099"/>
    <w:rsid w:val="7A312E66"/>
    <w:rsid w:val="7A3D5B2A"/>
    <w:rsid w:val="7A3EB5F4"/>
    <w:rsid w:val="7AE821E2"/>
    <w:rsid w:val="7B5EFE65"/>
    <w:rsid w:val="7B8AC8FC"/>
    <w:rsid w:val="7BC01845"/>
    <w:rsid w:val="7C35307A"/>
    <w:rsid w:val="7C4A6D5B"/>
    <w:rsid w:val="7C947A56"/>
    <w:rsid w:val="7D1F4EFA"/>
    <w:rsid w:val="7D677692"/>
    <w:rsid w:val="7D7F7524"/>
    <w:rsid w:val="7DD87FEF"/>
    <w:rsid w:val="7DEFE624"/>
    <w:rsid w:val="7E17093E"/>
    <w:rsid w:val="7E1B0471"/>
    <w:rsid w:val="7E696026"/>
    <w:rsid w:val="7EA45B3A"/>
    <w:rsid w:val="7EABB6A6"/>
    <w:rsid w:val="7EB808CB"/>
    <w:rsid w:val="7EF576D4"/>
    <w:rsid w:val="7EFFF193"/>
    <w:rsid w:val="7F0A396F"/>
    <w:rsid w:val="7F21188E"/>
    <w:rsid w:val="7F7372B9"/>
    <w:rsid w:val="7FBD2A21"/>
    <w:rsid w:val="7FEFB5A7"/>
    <w:rsid w:val="8FFA46BC"/>
    <w:rsid w:val="9B3FD990"/>
    <w:rsid w:val="ABF726AB"/>
    <w:rsid w:val="ADF76168"/>
    <w:rsid w:val="AFFF4184"/>
    <w:rsid w:val="B6FF208A"/>
    <w:rsid w:val="BBDF274A"/>
    <w:rsid w:val="BFFF46C8"/>
    <w:rsid w:val="DCED3743"/>
    <w:rsid w:val="DDEBF90C"/>
    <w:rsid w:val="DEFFF1E6"/>
    <w:rsid w:val="DFEE08F3"/>
    <w:rsid w:val="EBCDD2EC"/>
    <w:rsid w:val="EBF60635"/>
    <w:rsid w:val="EEFFE43F"/>
    <w:rsid w:val="EFEEEA39"/>
    <w:rsid w:val="F6807437"/>
    <w:rsid w:val="F7BFF45D"/>
    <w:rsid w:val="FEDFDCCD"/>
    <w:rsid w:val="FFEDA341"/>
    <w:rsid w:val="FFEF396C"/>
    <w:rsid w:val="FFF22FA6"/>
    <w:rsid w:val="FFFBF2A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nhideWhenUsed="0" w:uiPriority="0" w:semiHidden="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964" w:firstLineChars="200"/>
      <w:jc w:val="both"/>
    </w:pPr>
    <w:rPr>
      <w:rFonts w:ascii="Times New Roman" w:hAnsi="Times New Roman" w:eastAsia="宋体" w:cs="Times New Roman"/>
      <w:kern w:val="2"/>
      <w:sz w:val="24"/>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7"/>
    <w:uiPriority w:val="0"/>
    <w:pPr>
      <w:jc w:val="left"/>
    </w:pPr>
  </w:style>
  <w:style w:type="paragraph" w:styleId="3">
    <w:name w:val="Balloon Text"/>
    <w:basedOn w:val="1"/>
    <w:link w:val="26"/>
    <w:uiPriority w:val="0"/>
    <w:rPr>
      <w:sz w:val="18"/>
      <w:szCs w:val="18"/>
    </w:rPr>
  </w:style>
  <w:style w:type="paragraph" w:styleId="4">
    <w:name w:val="footer"/>
    <w:basedOn w:val="1"/>
    <w:link w:val="25"/>
    <w:uiPriority w:val="0"/>
    <w:pPr>
      <w:tabs>
        <w:tab w:val="center" w:pos="4153"/>
        <w:tab w:val="right" w:pos="8306"/>
      </w:tabs>
      <w:snapToGrid w:val="0"/>
      <w:jc w:val="left"/>
    </w:pPr>
    <w:rPr>
      <w:sz w:val="18"/>
      <w:szCs w:val="18"/>
    </w:rPr>
  </w:style>
  <w:style w:type="paragraph" w:styleId="5">
    <w:name w:val="header"/>
    <w:basedOn w:val="1"/>
    <w:link w:val="2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Cs w:val="24"/>
    </w:rPr>
  </w:style>
  <w:style w:type="paragraph" w:styleId="7">
    <w:name w:val="annotation subject"/>
    <w:basedOn w:val="2"/>
    <w:next w:val="2"/>
    <w:link w:val="28"/>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1">
    <w:name w:val="FollowedHyperlink"/>
    <w:basedOn w:val="10"/>
    <w:qFormat/>
    <w:uiPriority w:val="0"/>
    <w:rPr>
      <w:color w:val="800080"/>
      <w:u w:val="single"/>
    </w:rPr>
  </w:style>
  <w:style w:type="character" w:styleId="12">
    <w:name w:val="Hyperlink"/>
    <w:basedOn w:val="10"/>
    <w:qFormat/>
    <w:uiPriority w:val="0"/>
    <w:rPr>
      <w:color w:val="0000FF"/>
      <w:u w:val="single"/>
    </w:rPr>
  </w:style>
  <w:style w:type="character" w:styleId="13">
    <w:name w:val="annotation reference"/>
    <w:basedOn w:val="10"/>
    <w:uiPriority w:val="0"/>
    <w:rPr>
      <w:sz w:val="21"/>
      <w:szCs w:val="21"/>
    </w:rPr>
  </w:style>
  <w:style w:type="paragraph" w:customStyle="1" w:styleId="14">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character" w:customStyle="1" w:styleId="15">
    <w:name w:val="fontstyle01"/>
    <w:basedOn w:val="10"/>
    <w:qFormat/>
    <w:uiPriority w:val="0"/>
    <w:rPr>
      <w:rFonts w:ascii="黑体" w:hAnsi="宋体" w:eastAsia="黑体" w:cs="黑体"/>
      <w:color w:val="000000"/>
      <w:sz w:val="28"/>
      <w:szCs w:val="28"/>
    </w:rPr>
  </w:style>
  <w:style w:type="character" w:customStyle="1" w:styleId="16">
    <w:name w:val="fontstyle11"/>
    <w:basedOn w:val="10"/>
    <w:qFormat/>
    <w:uiPriority w:val="0"/>
    <w:rPr>
      <w:rFonts w:ascii="宋体" w:hAnsi="宋体" w:eastAsia="宋体" w:cs="宋体"/>
      <w:color w:val="000000"/>
      <w:sz w:val="24"/>
      <w:szCs w:val="24"/>
    </w:rPr>
  </w:style>
  <w:style w:type="character" w:customStyle="1" w:styleId="17">
    <w:name w:val="fontstyle21"/>
    <w:basedOn w:val="10"/>
    <w:qFormat/>
    <w:uiPriority w:val="0"/>
    <w:rPr>
      <w:rFonts w:ascii="TimesNewRomanPSMT" w:hAnsi="TimesNewRomanPSMT" w:eastAsia="TimesNewRomanPSMT" w:cs="TimesNewRomanPSMT"/>
      <w:color w:val="000000"/>
      <w:sz w:val="24"/>
      <w:szCs w:val="24"/>
    </w:rPr>
  </w:style>
  <w:style w:type="character" w:customStyle="1" w:styleId="18">
    <w:name w:val="fontstyle31"/>
    <w:basedOn w:val="10"/>
    <w:qFormat/>
    <w:uiPriority w:val="0"/>
    <w:rPr>
      <w:rFonts w:ascii="宋体" w:hAnsi="宋体" w:eastAsia="宋体" w:cs="宋体"/>
      <w:color w:val="000000"/>
      <w:sz w:val="24"/>
      <w:szCs w:val="24"/>
    </w:rPr>
  </w:style>
  <w:style w:type="character" w:customStyle="1" w:styleId="19">
    <w:name w:val="fontstyle41"/>
    <w:basedOn w:val="10"/>
    <w:qFormat/>
    <w:uiPriority w:val="0"/>
    <w:rPr>
      <w:rFonts w:ascii="TimesNewRomanPSMT" w:hAnsi="TimesNewRomanPSMT" w:eastAsia="TimesNewRomanPSMT" w:cs="TimesNewRomanPSMT"/>
      <w:color w:val="000000"/>
      <w:sz w:val="24"/>
      <w:szCs w:val="24"/>
    </w:rPr>
  </w:style>
  <w:style w:type="character" w:customStyle="1" w:styleId="20">
    <w:name w:val="fontstyle51"/>
    <w:basedOn w:val="10"/>
    <w:qFormat/>
    <w:uiPriority w:val="0"/>
    <w:rPr>
      <w:rFonts w:ascii="SymbolMT" w:hAnsi="SymbolMT" w:eastAsia="SymbolMT" w:cs="SymbolMT"/>
      <w:color w:val="000000"/>
      <w:sz w:val="22"/>
      <w:szCs w:val="22"/>
    </w:rPr>
  </w:style>
  <w:style w:type="character" w:customStyle="1" w:styleId="21">
    <w:name w:val="15"/>
    <w:basedOn w:val="10"/>
    <w:qFormat/>
    <w:uiPriority w:val="0"/>
    <w:rPr>
      <w:rFonts w:hint="default" w:ascii="Times New Roman" w:hAnsi="Times New Roman" w:cs="Times New Roman"/>
      <w:color w:val="800080"/>
      <w:u w:val="single"/>
    </w:rPr>
  </w:style>
  <w:style w:type="character" w:customStyle="1" w:styleId="22">
    <w:name w:val="16"/>
    <w:basedOn w:val="10"/>
    <w:qFormat/>
    <w:uiPriority w:val="0"/>
    <w:rPr>
      <w:rFonts w:hint="default" w:ascii="Times New Roman" w:hAnsi="Times New Roman" w:cs="Times New Roman"/>
      <w:color w:val="0000FF"/>
      <w:u w:val="single"/>
    </w:rPr>
  </w:style>
  <w:style w:type="character" w:customStyle="1" w:styleId="23">
    <w:name w:val="10"/>
    <w:basedOn w:val="10"/>
    <w:qFormat/>
    <w:uiPriority w:val="0"/>
    <w:rPr>
      <w:rFonts w:hint="default" w:ascii="Times New Roman" w:hAnsi="Times New Roman" w:cs="Times New Roman"/>
    </w:rPr>
  </w:style>
  <w:style w:type="character" w:customStyle="1" w:styleId="24">
    <w:name w:val="页眉 Char"/>
    <w:basedOn w:val="10"/>
    <w:link w:val="5"/>
    <w:uiPriority w:val="0"/>
    <w:rPr>
      <w:kern w:val="2"/>
      <w:sz w:val="18"/>
      <w:szCs w:val="18"/>
    </w:rPr>
  </w:style>
  <w:style w:type="character" w:customStyle="1" w:styleId="25">
    <w:name w:val="页脚 Char"/>
    <w:basedOn w:val="10"/>
    <w:link w:val="4"/>
    <w:uiPriority w:val="0"/>
    <w:rPr>
      <w:kern w:val="2"/>
      <w:sz w:val="18"/>
      <w:szCs w:val="18"/>
    </w:rPr>
  </w:style>
  <w:style w:type="character" w:customStyle="1" w:styleId="26">
    <w:name w:val="批注框文本 Char"/>
    <w:basedOn w:val="10"/>
    <w:link w:val="3"/>
    <w:uiPriority w:val="0"/>
    <w:rPr>
      <w:kern w:val="2"/>
      <w:sz w:val="18"/>
      <w:szCs w:val="18"/>
    </w:rPr>
  </w:style>
  <w:style w:type="character" w:customStyle="1" w:styleId="27">
    <w:name w:val="批注文字 Char"/>
    <w:basedOn w:val="10"/>
    <w:link w:val="2"/>
    <w:uiPriority w:val="0"/>
    <w:rPr>
      <w:kern w:val="2"/>
      <w:sz w:val="24"/>
      <w:szCs w:val="22"/>
    </w:rPr>
  </w:style>
  <w:style w:type="character" w:customStyle="1" w:styleId="28">
    <w:name w:val="批注主题 Char"/>
    <w:basedOn w:val="27"/>
    <w:link w:val="7"/>
    <w:uiPriority w:val="0"/>
    <w:rPr>
      <w:b/>
      <w:bCs/>
      <w:kern w:val="2"/>
      <w:sz w:val="24"/>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8.w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7.wmf"/><Relationship Id="rId18" Type="http://schemas.openxmlformats.org/officeDocument/2006/relationships/oleObject" Target="embeddings/oleObject1.bin"/><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5989</Words>
  <Characters>7607</Characters>
  <Lines>67</Lines>
  <Paragraphs>19</Paragraphs>
  <TotalTime>1</TotalTime>
  <ScaleCrop>false</ScaleCrop>
  <LinksUpToDate>false</LinksUpToDate>
  <CharactersWithSpaces>7770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2023-07-21T11:16:00Z</dcterms:created>
  <dc:creator>王庆国</dc:creator>
  <cp:lastModifiedBy>lsh</cp:lastModifiedBy>
  <cp:lastPrinted>2023-07-30T16:25:00Z</cp:lastPrinted>
  <dcterms:modified xsi:type="dcterms:W3CDTF">2023-08-01T14:04:57Z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14BCB257637F4CE393D0CDD892EB7504_13</vt:lpwstr>
  </property>
</Properties>
</file>